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10 — Capstone</w:t>
      </w:r>
    </w:p>
    <w:p>
      <w:r>
        <w:rPr>
          <w:b/>
        </w:rPr>
        <w:t>Duur:</w:t>
      </w:r>
      <w:r>
        <w:t xml:space="preserve"> 1 dagdeel (± 3 uur), eventueel uit te breiden naar een volledige dag bij grotere groepen (verdedigingstijd schaalt met groepsgrootte)</w:t>
      </w:r>
    </w:p>
    <w:p>
      <w:r>
        <w:rPr>
          <w:b/>
        </w:rPr>
        <w:t>Vereiste voorkennis:</w:t>
      </w:r>
      <w:r>
        <w:t xml:space="preserve"> Deel 1-9, volledig</w:t>
      </w:r>
    </w:p>
    <w:p>
      <w:r>
        <w:rPr>
          <w:b/>
        </w:rPr>
        <w:t>Materialen:</w:t>
      </w:r>
      <w:r>
        <w:t xml:space="preserve"> Reader, Werkboek (rubric), Slidedeck, beide ontwikkelomgevingen</w:t>
      </w:r>
    </w:p>
    <w:p>
      <w:pPr>
        <w:pStyle w:val="Heading2"/>
      </w:pPr>
      <w:r>
        <w:rPr>
          <w:color w:val="14213D"/>
        </w:rPr>
        <w:t>Lesdoelen</w:t>
      </w:r>
    </w:p>
    <w:p>
      <w:pPr>
        <w:pStyle w:val="ListNumber"/>
      </w:pPr>
      <w:r>
        <w:t>Alle onderdelen van Verzuimmeldingen samenbrengen tot één coherente applicatie, in beide sporen</w:t>
      </w:r>
    </w:p>
    <w:p>
      <w:pPr>
        <w:pStyle w:val="ListNumber"/>
      </w:pPr>
      <w:r>
        <w:t>Ontwerpkeuzes verantwoorden tegenover drie verschillende perspectieven</w:t>
      </w:r>
    </w:p>
    <w:p>
      <w:pPr>
        <w:pStyle w:val="ListNumber"/>
      </w:pPr>
      <w:r>
        <w:t>Eigen tekortkomingen herkennen en proactief benoemen</w:t>
      </w:r>
    </w:p>
    <w:p>
      <w:pPr>
        <w:pStyle w:val="Heading2"/>
      </w:pPr>
      <w:r>
        <w:rPr>
          <w:color w:val="14213D"/>
        </w:rPr>
        <w:t>Tijdsindeling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Terugblik hele niveau 1, intro capstone</w:t>
            </w:r>
          </w:p>
        </w:tc>
      </w:tr>
      <w:tr>
        <w:tc>
          <w:tcPr>
            <w:tcW w:type="dxa" w:w="4320"/>
          </w:tcPr>
          <w:p>
            <w:r>
              <w:t>0:15–1:15</w:t>
            </w:r>
          </w:p>
        </w:tc>
        <w:tc>
          <w:tcPr>
            <w:tcW w:type="dxa" w:w="4320"/>
          </w:tcPr>
          <w:p>
            <w:r>
              <w:t>Zelfstandige afrondingstijd (checklist reader 10.2)</w:t>
            </w:r>
          </w:p>
        </w:tc>
      </w:tr>
      <w:tr>
        <w:tc>
          <w:tcPr>
            <w:tcW w:type="dxa" w:w="4320"/>
          </w:tcPr>
          <w:p>
            <w:r>
              <w:t>1:15–1:30</w:t>
            </w:r>
          </w:p>
        </w:tc>
        <w:tc>
          <w:tcPr>
            <w:tcW w:type="dxa" w:w="4320"/>
          </w:tcPr>
          <w:p>
            <w:r>
              <w:t>Pauze</w:t>
            </w:r>
          </w:p>
        </w:tc>
      </w:tr>
      <w:tr>
        <w:tc>
          <w:tcPr>
            <w:tcW w:type="dxa" w:w="4320"/>
          </w:tcPr>
          <w:p>
            <w:r>
              <w:t>1:30–2:45</w:t>
            </w:r>
          </w:p>
        </w:tc>
        <w:tc>
          <w:tcPr>
            <w:tcW w:type="dxa" w:w="4320"/>
          </w:tcPr>
          <w:p>
            <w:r>
              <w:t>Verdedigingen (20 min per deelnemer/groepje: 10 toelichting, 10 vragen)</w:t>
            </w:r>
          </w:p>
        </w:tc>
      </w:tr>
      <w:tr>
        <w:tc>
          <w:tcPr>
            <w:tcW w:type="dxa" w:w="4320"/>
          </w:tcPr>
          <w:p>
            <w:r>
              <w:t>2:45–3:00</w:t>
            </w:r>
          </w:p>
        </w:tc>
        <w:tc>
          <w:tcPr>
            <w:tcW w:type="dxa" w:w="4320"/>
          </w:tcPr>
          <w:p>
            <w:r>
              <w:t>Gezamenlijke nabespreking, vooruitblik niveau 2</w:t>
            </w:r>
          </w:p>
        </w:tc>
      </w:tr>
    </w:tbl>
    <w:p/>
    <w:p>
      <w:pPr>
        <w:pStyle w:val="Heading2"/>
      </w:pPr>
      <w:r>
        <w:rPr>
          <w:color w:val="14213D"/>
        </w:rPr>
        <w:t>Didactische aandachtspunten</w:t>
      </w:r>
    </w:p>
    <w:p>
      <w:r>
        <w:rPr>
          <w:b/>
        </w:rPr>
        <w:t>Speel de drie rollen zelf, of verdeel ze over collega-docenten/assistenten indien beschikbaar.</w:t>
      </w:r>
      <w:r>
        <w:t xml:space="preserve"> Wissel bewust van toon per rol: de consument is nieuwsgierig en soms een beetje ongeduldig, de beheerder is kritisch en detailgericht, het stuurgroeplid is beknopt en resultaatgericht. Dit maakt het rolverschil voor de deelnemer voelbaar, niet alleen theoretisch.</w:t>
      </w:r>
    </w:p>
    <w:p>
      <w:r>
        <w:rPr>
          <w:b/>
        </w:rPr>
        <w:t>De stuurgroepvraag over meerkost van tweemaal bouwen is het belangrijkste toetsmoment van de hele cursus tot nu toe.</w:t>
      </w:r>
      <w:r>
        <w:t xml:space="preserve"> Dit is niet zomaar een afrondende vraag — het toetst of de deelnemer de kernboodschap van de cursus (tweesporigheid is casusrealiteit, geen didactische omweg) daadwerkelijk heeft geïnternaliseerd. Een deelnemer die hier alleen "het kostte meer tijd" antwoordt, heeft de rode lijn van niveau 1 gemist.</w:t>
      </w:r>
    </w:p>
    <w:p>
      <w:r>
        <w:rPr>
          <w:b/>
        </w:rPr>
        <w:t>Bij tijdgebrek: prioriteer de verdediging boven een perfect afgeronde applicatie.</w:t>
      </w:r>
      <w:r>
        <w:t xml:space="preserve"> Een applicatie met kleine, zelf-herkende gebreken en een sterke verdediging scoort volgens de rubric hoger dan een technisch vlekkeloze applicatie die de bouwer niet kan verantwoorden. Communiceer dit vooraf aan de groep, zodat ze niet de hele beschikbare tijd in polijsten steken.</w:t>
      </w:r>
    </w:p>
    <w:p>
      <w:r>
        <w:rPr>
          <w:b/>
        </w:rPr>
        <w:t>Sluit dit deel af met een expliciete brug naar niveau 2.</w:t>
      </w:r>
      <w:r>
        <w:t xml:space="preserve"> Verzuimmeldingen was bewust klein en enkelvoudig; niveau 2 schaalt naar WGP 2.0 op landschapsniveau met veertien bestaande satellieten ernaast. Geef deelnemers dat perspectief mee, zodat de overgang niet als een nieuw begin aanvoelt maar als een logische volgende stap.</w:t>
      </w:r>
    </w:p>
    <w:p>
      <w:pPr>
        <w:pStyle w:val="Heading2"/>
      </w:pPr>
      <w:r>
        <w:rPr>
          <w:color w:val="14213D"/>
        </w:rPr>
        <w:t>Veelgestelde vragen</w:t>
      </w:r>
    </w:p>
    <w:p>
      <w:r>
        <w:rPr>
          <w:b/>
        </w:rPr>
        <w:t>"Moet de applicatie in beide sporen exact hetzelfde gedrag vertonen?"</w:t>
      </w:r>
    </w:p>
    <w:p>
      <w:r>
        <w:t>Functioneel gelijkwaardig, ja — maar kleine, verklaarbare verschillen in bijvoorbeeld foutmeldingtekst of exacte UI-styling zijn geen probleem, zolang de deelnemer kan uitleggen waarom.</w:t>
      </w:r>
    </w:p>
    <w:p>
      <w:r>
        <w:rPr>
          <w:b/>
        </w:rPr>
        <w:t>"Wat als een deelnemer in de verdediging een gebrek noemt dat de docent nog niet had opgemerkt?"</w:t>
      </w:r>
    </w:p>
    <w:p>
      <w:r>
        <w:t>Beloon dit expliciet volgens de rubric (criterium "omgaan met eigen gebreken", 2 punten) — dit is precies het gedrag dat niveau 2 en 3 verder uitbouwen.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