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Deel 10 — Capstone: Verzuimmeldingen compleet, en de verdediging</w:t>
      </w:r>
    </w:p>
    <w:p>
      <w:pPr>
        <w:pStyle w:val="Heading2"/>
      </w:pPr>
      <w:r>
        <w:rPr>
          <w:color w:val="14213D"/>
        </w:rPr>
        <w:t>Niveau 1 · Fundament · OutSystems (O11 &amp; ODC)</w:t>
      </w:r>
    </w:p>
    <w:p>
      <w:pPr>
        <w:spacing w:before="80" w:after="80"/>
        <w:pBdr>
          <w:bottom w:val="single" w:sz="6" w:color="E9A13B"/>
        </w:pBdr>
      </w:pPr>
    </w:p>
    <w:p>
      <w:pPr>
        <w:pStyle w:val="Heading2"/>
      </w:pPr>
      <w:r>
        <w:rPr>
          <w:color w:val="14213D"/>
        </w:rPr>
        <w:t>10.1 Waar je nu staat</w:t>
      </w:r>
    </w:p>
    <w:p>
      <w:r>
        <w:t>Over negen delen heb je Verzuimmeldingen tweemaal gebouwd — in Service Studio en in ODC Studio — en daarbij de volledige fundamentele laag van OutSystems doorlopen: platformanatomie, datamodel, logica, interface, data ophalen, schrijfkant, beveiliging, en integratie. Dit slotdeel heeft twee doelen: de losse onderdelen samenbrengen tot één werkende, coherente applicatie, en die applicatie leren verdedigen tegenover mensen met een ander perspectief dan het jouwe als bouwer.</w:t>
      </w:r>
    </w:p>
    <w:p>
      <w:pPr>
        <w:spacing w:before="80" w:after="80"/>
        <w:pBdr>
          <w:bottom w:val="single" w:sz="6" w:color="E9A13B"/>
        </w:pBdr>
      </w:pPr>
    </w:p>
    <w:p>
      <w:pPr>
        <w:pStyle w:val="Heading2"/>
      </w:pPr>
      <w:r>
        <w:rPr>
          <w:color w:val="14213D"/>
        </w:rPr>
        <w:t>10.2 De opdracht: Verzuimmeldingen als geheel</w:t>
      </w:r>
    </w:p>
    <w:p>
      <w:r>
        <w:t>Breng in beide sporen (O11 en ODC) de onderdelen uit deel 1-9 samen tot één samenhangende applicatie:</w:t>
      </w:r>
    </w:p>
    <w:p>
      <w:pPr>
        <w:pStyle w:val="ListBullet"/>
      </w:pPr>
      <w:r>
        <w:rPr>
          <w:rFonts w:ascii="Consolas" w:hAnsi="Consolas"/>
        </w:rPr>
        <w:t>MeldingOverzicht</w:t>
      </w:r>
      <w:r>
        <w:t xml:space="preserve"> en </w:t>
      </w:r>
      <w:r>
        <w:rPr>
          <w:rFonts w:ascii="Consolas" w:hAnsi="Consolas"/>
        </w:rPr>
        <w:t>MeldingDetail</w:t>
      </w:r>
      <w:r>
        <w:t xml:space="preserve">, met het </w:t>
      </w:r>
      <w:r>
        <w:rPr>
          <w:rFonts w:ascii="Consolas" w:hAnsi="Consolas"/>
        </w:rPr>
        <w:t>StatusBadge</w:t>
      </w:r>
      <w:r>
        <w:t>-block</w:t>
      </w:r>
    </w:p>
    <w:p>
      <w:pPr>
        <w:pStyle w:val="ListBullet"/>
      </w:pPr>
      <w:r>
        <w:rPr>
          <w:rFonts w:ascii="Consolas" w:hAnsi="Consolas"/>
        </w:rPr>
        <w:t>MeldingInvoer</w:t>
      </w:r>
      <w:r>
        <w:t xml:space="preserve"> met volledige client- en server-validatie</w:t>
      </w:r>
    </w:p>
    <w:p>
      <w:pPr>
        <w:pStyle w:val="ListBullet"/>
      </w:pPr>
      <w:r>
        <w:t xml:space="preserve">Rollen </w:t>
      </w:r>
      <w:r>
        <w:rPr>
          <w:rFonts w:ascii="Consolas" w:hAnsi="Consolas"/>
        </w:rPr>
        <w:t>HRMedewerker</w:t>
      </w:r>
      <w:r>
        <w:t xml:space="preserve"> en </w:t>
      </w:r>
      <w:r>
        <w:rPr>
          <w:rFonts w:ascii="Consolas" w:hAnsi="Consolas"/>
        </w:rPr>
        <w:t>MeridiaanBeheerder</w:t>
      </w:r>
      <w:r>
        <w:t>, correct toegepast op zowel schermen als datafiltering</w:t>
      </w:r>
    </w:p>
    <w:p>
      <w:pPr>
        <w:pStyle w:val="ListBullet"/>
      </w:pPr>
      <w:r>
        <w:t>De Mutatie-API-integratie met foutafhandeling</w:t>
      </w:r>
    </w:p>
    <w:p>
      <w:pPr>
        <w:pStyle w:val="ListBullet"/>
      </w:pPr>
      <w:r>
        <w:t>Paginering op het overzicht</w:t>
      </w:r>
    </w:p>
    <w:p>
      <w:r>
        <w:t>Dit is geen nieuwe stof — het is het bewijs dat je de negen voorgaande delen niet als losse trucs hebt geleerd, maar als een samenhangend geheel kunt toepassen.</w:t>
      </w:r>
    </w:p>
    <w:p>
      <w:pPr>
        <w:spacing w:before="80" w:after="80"/>
        <w:pBdr>
          <w:bottom w:val="single" w:sz="6" w:color="E9A13B"/>
        </w:pBdr>
      </w:pPr>
    </w:p>
    <w:p>
      <w:pPr>
        <w:pStyle w:val="Heading2"/>
      </w:pPr>
      <w:r>
        <w:rPr>
          <w:color w:val="14213D"/>
        </w:rPr>
        <w:t>10.3 De verdediging: drie rollen, drie perspectieven</w:t>
      </w:r>
    </w:p>
    <w:p>
      <w:r>
        <w:t>Een applicatie bouwen is niet hetzelfde als een applicatie kunnen verantwoorden. In de eindopdracht verdedig je Verzuimmeldingen tegenover drie rollen, elk met een eigen soort vraag:</w:t>
      </w:r>
    </w:p>
    <w:p>
      <w:r>
        <w:rPr>
          <w:b/>
        </w:rPr>
        <w:t>De consument (HR-medewerker).</w:t>
      </w:r>
      <w:r>
        <w:t xml:space="preserve"> Vraagt vanuit gebruiksgemak: "Waarom moet ik dit veld invullen? Wat gebeurt er als ik een fout maak? Zie ik meteen of mijn melding is opgeslagen?" Dit toetst of je de gebruikerservaring-keuzes uit deel 5 en 7 daadwerkelijk kunt verantwoorden, niet alleen kunt uitvoeren.</w:t>
      </w:r>
    </w:p>
    <w:p>
      <w:r>
        <w:rPr>
          <w:b/>
        </w:rPr>
        <w:t>De beheerder (Meridiaan IT).</w:t>
      </w:r>
      <w:r>
        <w:t xml:space="preserve"> Vraagt vanuit beheersbaarheid: "Wie kan er bij welke data? Wat gebeurt er als de Mutatie-API een dag down is? Hoe zie ik of alle "nog te verwerken"-mutaties uiteindelijk zijn afgehandeld?" Dit toetst deel 8 en 9 — niet de functionaliteit zelf, maar de robuustheid ervan.</w:t>
      </w:r>
    </w:p>
    <w:p>
      <w:r>
        <w:rPr>
          <w:b/>
        </w:rPr>
        <w:t>Het stuurgroeplid.</w:t>
      </w:r>
      <w:r>
        <w:t xml:space="preserve"> Vraagt vanuit de bredere afweging: "Waarom bouwen we dit in twee sporen, is dat geen dubbel werk? Wat zou het kosten om dit alleen in ODC te doen? Wanneer heeft deze keuze zich terugverdiend?" Dit toetst of je de tweesporigheid — de kern van deze hele cursus — kunt plaatsen in een zakelijke context, niet alleen technisch kunt uitvoeren.</w:t>
      </w:r>
    </w:p>
    <w:p>
      <w:pPr>
        <w:spacing w:before="80" w:after="80"/>
        <w:pBdr>
          <w:bottom w:val="single" w:sz="6" w:color="E9A13B"/>
        </w:pBdr>
      </w:pPr>
    </w:p>
    <w:p>
      <w:pPr>
        <w:pStyle w:val="Heading2"/>
      </w:pPr>
      <w:r>
        <w:rPr>
          <w:color w:val="14213D"/>
        </w:rPr>
        <w:t>10.4 Wat een goede verdediging onderscheidt van een matige</w:t>
      </w:r>
    </w:p>
    <w:p>
      <w:r>
        <w:t xml:space="preserve">De rubric in het werkboek beoordeelt niet of je applicatie foutloos is — kleine gebreken zijn acceptabel als je ze zelf herkent en kunt duiden. Wat wél doorslaggevend is: kun je uitleggen </w:t>
      </w:r>
      <w:r>
        <w:rPr>
          <w:i/>
        </w:rPr>
        <w:t>waarom</w:t>
      </w:r>
      <w:r>
        <w:t xml:space="preserve"> je een bepaalde keuze maakte, niet alleen </w:t>
      </w:r>
      <w:r>
        <w:rPr>
          <w:i/>
        </w:rPr>
        <w:t>dat</w:t>
      </w:r>
      <w:r>
        <w:t xml:space="preserve"> je hem maakte? "Ik filter op werkgever in de Aggregate, want screen-autorisatie alleen zou een HR-medewerker toegang geven tot data van andere werkgevers" is een sterker antwoord dan "omdat het moest."</w:t>
      </w:r>
    </w:p>
    <w:p>
      <w:pPr>
        <w:spacing w:before="80" w:after="80"/>
        <w:pBdr>
          <w:bottom w:val="single" w:sz="6" w:color="E9A13B"/>
        </w:pBdr>
      </w:pPr>
    </w:p>
    <w:p>
      <w:pPr>
        <w:pStyle w:val="Heading2"/>
      </w:pPr>
      <w:r>
        <w:rPr>
          <w:color w:val="14213D"/>
        </w:rPr>
        <w:t>Kernpunten</w:t>
      </w:r>
    </w:p>
    <w:p>
      <w:pPr>
        <w:pStyle w:val="ListBullet"/>
      </w:pPr>
      <w:r>
        <w:t>De capstone brengt negen delen samen tot één coherente, werkende applicatie in beide sporen</w:t>
      </w:r>
    </w:p>
    <w:p>
      <w:pPr>
        <w:pStyle w:val="ListBullet"/>
      </w:pPr>
      <w:r>
        <w:t>Verdediging vanuit drie rollen (consument, beheerder, stuurgroeplid) toetst verschillende soorten begrip: gebruikerservaring, robuustheid, zakelijke afweging</w:t>
      </w:r>
    </w:p>
    <w:p>
      <w:pPr>
        <w:pStyle w:val="ListBullet"/>
      </w:pPr>
      <w:r>
        <w:t>Een goede verdediging legt de reden achter een keuze uit, niet alleen het resultaat</w:t>
      </w:r>
    </w:p>
    <w:p>
      <w:pPr>
        <w:pStyle w:val="ListBullet"/>
      </w:pPr>
      <w:r>
        <w:t>Dit deel sluit niveau 1 af — niveau 2 bouwt hierop voort met WGP 2.0 op landschapsschaal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