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11 — Architecture Canvas en de vierlagenregel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Niveau 1 volledig</w:t>
      </w:r>
    </w:p>
    <w:p>
      <w:r>
        <w:rPr>
          <w:b/>
        </w:rPr>
        <w:t>Materialen:</w:t>
      </w:r>
      <w:r>
        <w:t xml:space="preserve"> Reader, Werkboek, Slidedeck, LifeTime- en ODC Studio-toegang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Een applicatielandschap in kaart brengen met de Architecture Canvas</w:t>
      </w:r>
    </w:p>
    <w:p>
      <w:pPr>
        <w:pStyle w:val="ListNumber"/>
      </w:pPr>
      <w:r>
        <w:t>De vierlagenregel toepassen om te bepalen waar nieuwe functionaliteit hoort</w:t>
      </w:r>
    </w:p>
    <w:p>
      <w:pPr>
        <w:pStyle w:val="ListNumber"/>
      </w:pPr>
      <w:r>
        <w:t>Het verschil in afdwingbaarheid van de laagregel tussen O11 en ODC herkennen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0:00–0:20</w:t>
            </w:r>
          </w:p>
        </w:tc>
        <w:tc>
          <w:tcPr>
            <w:tcW w:type="dxa" w:w="4320"/>
          </w:tcPr>
          <w:p>
            <w:r>
              <w:t>Intro niveau 2, casusoverdracht naar WGP 2.0</w:t>
            </w:r>
          </w:p>
        </w:tc>
      </w:tr>
      <w:tr>
        <w:tc>
          <w:tcPr>
            <w:tcW w:type="dxa" w:w="4320"/>
          </w:tcPr>
          <w:p>
            <w:r>
              <w:t>0:20–0:50</w:t>
            </w:r>
          </w:p>
        </w:tc>
        <w:tc>
          <w:tcPr>
            <w:tcW w:type="dxa" w:w="4320"/>
          </w:tcPr>
          <w:p>
            <w:r>
              <w:t>Reader 11.1–11.2, discussie vierlagenregel</w:t>
            </w:r>
          </w:p>
        </w:tc>
      </w:tr>
      <w:tr>
        <w:tc>
          <w:tcPr>
            <w:tcW w:type="dxa" w:w="4320"/>
          </w:tcPr>
          <w:p>
            <w:r>
              <w:t>0:50–1:15</w:t>
            </w:r>
          </w:p>
        </w:tc>
        <w:tc>
          <w:tcPr>
            <w:tcW w:type="dxa" w:w="4320"/>
          </w:tcPr>
          <w:p>
            <w:r>
              <w:t>Opdracht 11.1,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Canvas/laagstructuur opzetten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11.3, reflectieopdracht 11.2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12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overgang van niveau 1 naar niveau 2 is een schaalsprong — maak dat expliciet voelbaar.</w:t>
      </w:r>
      <w:r>
        <w:t xml:space="preserve"> Niveau 1 ging over één kleine app; niveau 2 gaat over een landschap. Besteed de eerste twintig minuten bewust aan het herpositioneren: Verzuimmeldingen bestaat nog steeds, maar is nu één van vijftien modules in een groter geheel.</w:t>
      </w:r>
    </w:p>
    <w:p>
      <w:r>
        <w:rPr>
          <w:b/>
        </w:rPr>
        <w:t>Opdracht 11.A levert het sterkste leermoment op als je een realistisch, enigszins rommelig landschap gebruikt.</w:t>
      </w:r>
      <w:r>
        <w:t xml:space="preserve"> Een schoon, al perfect gelaagd landschap in de opleidingsomgeving mist het punt. Zorg dat de oefendata minstens één bewuste verkeerde-richting-afhankelijkheid bevat.</w:t>
      </w:r>
    </w:p>
    <w:p>
      <w:r>
        <w:rPr>
          <w:b/>
        </w:rPr>
        <w:t>Vermijd het waardeoordeel "ODC dwingt dit beter af, dus O11 is slordig."</w:t>
      </w:r>
      <w:r>
        <w:t xml:space="preserve"> De vierlagenregel bestond en werkte in O11-landschappen ruim voordat ODC bestond — het verschil is signalering, niet principieel vermogen. Formuleer het als een concreet, praktisch voordeel van nieuwbouw in ODC, niet als een tekortkoming van O11 zelf.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"Moet elke module precies in één laag passen, of kan iets tussen twee lagen in zitten?"</w:t>
      </w:r>
    </w:p>
    <w:p>
      <w:r>
        <w:t>In de praktijk is de indeling soms een gradatie — belangrijker dan de exacte laagnaam is het onderliggende principe: afhankelijkheden lopen van specifiek naar generiek, nooit andersom.</w:t>
      </w:r>
    </w:p>
    <w:p>
      <w:r>
        <w:rPr>
          <w:b/>
        </w:rPr>
        <w:t>"Wat als we ontdekken dat een bestaande O11-satelliet al jaren een verkeerde-richting-afhankelijkheid heeft?"</w:t>
      </w:r>
    </w:p>
    <w:p>
      <w:r>
        <w:t>Dit is een realistisch scenario en geen reden tot paniek — noteer het als technische schuld (deel 20) en beoordeel per geval of correctie nu nodig is of kan wachten tot de module toch wordt aangepast.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