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12 — Modules, libraries, afhankelijkheden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11</w:t>
      </w:r>
    </w:p>
    <w:p>
      <w:r>
        <w:rPr>
          <w:b/>
        </w:rPr>
        <w:t>Materialen:</w:t>
      </w:r>
      <w:r>
        <w:t xml:space="preserve"> Reader, Werkboek, Slidedeck, Service Studio en ODC Studio-toegang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Het onderscheid tussen library en applicatie correct toepassen</w:t>
      </w:r>
    </w:p>
    <w:p>
      <w:pPr>
        <w:pStyle w:val="ListNumber"/>
      </w:pPr>
      <w:r>
        <w:t>Een gedeelde library-module bouwen en als afhankelijkheid gebruiken</w:t>
      </w:r>
    </w:p>
    <w:p>
      <w:pPr>
        <w:pStyle w:val="ListNumber"/>
      </w:pPr>
      <w:r>
        <w:t>Cyclische afhankelijkheden herkennen als architecturaal signaal, niet als toevallige technische fout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11, intro modules/libraries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12.1–12.2, discussie library vs applicatie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12.1,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library bouwen, afhankelijkheid leggen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12.3–12.4, reflectieopdracht 12.2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13 (datamodellering op schaal)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refactoring van "lokale logica" naar "library-afhankelijkheid" in Opdracht 12.A/B is het belangrijkste tastbare moment van dit deel.</w:t>
      </w:r>
      <w:r>
        <w:t xml:space="preserve"> Laat deelnemers bewust het verschil zien tussen vóór (logica leeft alleen in Verzuimmeldingen) en na (logica leeft in de library, Verzuimmeldingen roept hem aan) — dit is de praktische vertaling van de Core-laag uit deel 11.</w:t>
      </w:r>
    </w:p>
    <w:p>
      <w:r>
        <w:rPr>
          <w:b/>
        </w:rPr>
        <w:t>Reflectieopdracht 12.2 is bewust ingewikkelder dan de rest van dit deel — geef er ruim de tijd voor.</w:t>
      </w:r>
      <w:r>
        <w:t xml:space="preserve"> Veel deelnemers redeneren te snel dat "twee modules die van dezelfde derde module afhangen" een cyclus is. Dat is het niet — leg het verschil expliciet uit met het diagram uit de slidedeck (FIGUUR 12-2).</w:t>
      </w:r>
    </w:p>
    <w:p>
      <w:r>
        <w:rPr>
          <w:b/>
        </w:rPr>
        <w:t>Vermijd een uitputtende catalogus van alle mogelijke afhankelijkheidspatronen.</w:t>
      </w:r>
      <w:r>
        <w:t xml:space="preserve"> Dit fundament-brede deel introduceert het principe; complexere patronen (bijvoorbeeld versiebeheer van een library over meerdere consumers heen) horen bij latere, meer gevorderde delen indien de klant daarnaar vraagt — niet hier.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"Wat gebeurt er als twee modules een verschillende versie van dezelfde library nodig hebben?"</w:t>
      </w:r>
    </w:p>
    <w:p>
      <w:r>
        <w:t>Buiten scope van dit deel — beide platformen bieden versiebeheer-mechanismen voor dit scenario, maar de details zijn versiegebonden en horen in de Toolbijlagen thuis.</w:t>
      </w:r>
    </w:p>
    <w:p>
      <w:r>
        <w:rPr>
          <w:b/>
        </w:rPr>
        <w:t>"Moeten we voor élk stukje herbruikbare logica meteen een aparte library maken?"</w:t>
      </w:r>
    </w:p>
    <w:p>
      <w:r>
        <w:t>Nee — leg de afweging uit: een library toevoegt overhead (een extra module om te beheren en te publiceren). De vuistregel is: zodra twee of meer End-User-modules dezelfde logica nodig hebben, is een library de juiste keuze; voor eenmalig gebruik is dat premature abstractie.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