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13 — Datamodellering op schaal</w:t>
      </w:r>
    </w:p>
    <w:p>
      <w:r>
        <w:rPr>
          <w:b/>
        </w:rPr>
        <w:t>Duur:</w:t>
      </w:r>
      <w:r>
        <w:t xml:space="preserve"> 1 dagdeel (± 3 uur)</w:t>
      </w:r>
    </w:p>
    <w:p>
      <w:r>
        <w:rPr>
          <w:b/>
        </w:rPr>
        <w:t>Vereiste voorkennis:</w:t>
      </w:r>
      <w:r>
        <w:t xml:space="preserve"> Deel 11-12</w:t>
      </w:r>
    </w:p>
    <w:p>
      <w:r>
        <w:rPr>
          <w:b/>
        </w:rPr>
        <w:t>Materialen:</w:t>
      </w:r>
      <w:r>
        <w:t xml:space="preserve"> Reader, Werkboek, Slidedeck, Service Studio en ODC Studio-toegang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Herkennen wanneer een entity landschap-eigendom wordt en wat dat betekent voor beheer</w:t>
      </w:r>
    </w:p>
    <w:p>
      <w:pPr>
        <w:pStyle w:val="ListNumber"/>
      </w:pPr>
      <w:r>
        <w:t>Kiezen tussen een directe entity-relatie en een API-koppelvlak op basis van de grens die wordt overschreden</w:t>
      </w:r>
    </w:p>
    <w:p>
      <w:pPr>
        <w:pStyle w:val="ListNumber"/>
      </w:pPr>
      <w:r>
        <w:t>Begrijpen dat gedeeld datamodel-eigenaarschap zowel techniek als afspraak vereist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deel 11-12, intro datamodellering op schaal</w:t>
            </w:r>
          </w:p>
        </w:tc>
      </w:tr>
      <w:tr>
        <w:tc>
          <w:tcPr>
            <w:tcW w:type="dxa" w:w="4320"/>
          </w:tcPr>
          <w:p>
            <w:r>
              <w:t>0:15–0:45</w:t>
            </w:r>
          </w:p>
        </w:tc>
        <w:tc>
          <w:tcPr>
            <w:tcW w:type="dxa" w:w="4320"/>
          </w:tcPr>
          <w:p>
            <w:r>
              <w:t>Reader 13.1–13.2, discussie relatie vs API</w:t>
            </w:r>
          </w:p>
        </w:tc>
      </w:tr>
      <w:tr>
        <w:tc>
          <w:tcPr>
            <w:tcW w:type="dxa" w:w="4320"/>
          </w:tcPr>
          <w:p>
            <w:r>
              <w:t>0:45–1:15</w:t>
            </w:r>
          </w:p>
        </w:tc>
        <w:tc>
          <w:tcPr>
            <w:tcW w:type="dxa" w:w="4320"/>
          </w:tcPr>
          <w:p>
            <w:r>
              <w:t>Opdracht 13.1,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Werkgever verplaatsen naar Core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13.3–13.4, reflectieopdracht 13.2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14 (performance)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De relatie-versus-API-vraag in Opdracht 13.1 lijkt eenvoudiger dan hij is — bewaak dat deelnemers de "organisatiegrens" als criterium gebruiken, niet "hoe ver weg het voelt."</w:t>
      </w:r>
      <w:r>
        <w:t xml:space="preserve"> Het Mutatieplatform ligt organisatorisch dicht bij Meridiaan (het is intern), maar valt toch buiten de OutSystems-modulegrens — dat is waarom het een API-koppelvlak blijft en geen relatie wordt, ook al is het geen extern bedrijf.</w:t>
      </w:r>
    </w:p>
    <w:p>
      <w:r>
        <w:rPr>
          <w:b/>
        </w:rPr>
        <w:t>Opdracht 13.B (bewust proberen te omzeilen) is het sterkste leermoment van dit deel.</w:t>
      </w:r>
      <w:r>
        <w:t xml:space="preserve"> Laat deelnemers zelf ervaren hoe lastig een sluiproute in ODC is, in plaats van dit alleen te vertellen — dit landt sterker dan de vergelijkbare observaties in eerdere delen.</w:t>
      </w:r>
    </w:p>
    <w:p>
      <w:r>
        <w:rPr>
          <w:b/>
        </w:rPr>
        <w:t>Koppel expliciet terug naar deel 3 (databasetoegang) en deel 8 (autorisatie).</w:t>
      </w:r>
      <w:r>
        <w:t xml:space="preserve"> Dit deel bouwt voort op beide: databasetoegang bepaalt hoe makkelijk een sluiproute is, autorisatie bepaalt wie een scherm mag zien — eigenaarschap is een derde, aanvullende laag die specifiek over schrijfrechten op een gedeelde entity gaat.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"Wie bepaalt uiteindelijk wie eigenaar wordt van een gedeelde entity?"</w:t>
      </w:r>
    </w:p>
    <w:p>
      <w:r>
        <w:t>In de praktijk: het team of de architect verantwoordelijk voor de Core-laag (zie deel 11) — vaak in overleg met de teams die de entity het meest gebruiken. Dit wordt in deel 21 (capstone) en deel 24 (multi-team, niveau 3) verder uitgewerkt.</w:t>
      </w:r>
    </w:p>
    <w:p>
      <w:r>
        <w:rPr>
          <w:b/>
        </w:rPr>
        <w:t>"Is het een probleem als een module toch af en toe direct leest zonder via de library-relatie?"</w:t>
      </w:r>
    </w:p>
    <w:p>
      <w:r>
        <w:t>Lezen via de relatie is precies wat de library-opzet faciliteert — dat is geen omzeiling maar het bedoelde gebruik. Het probleem ontstaat pas bij schrijven buiten de eigenaarsmodule 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