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13 — Datamodellering op schaal en koppelvlakken tussen apps</w:t>
      </w:r>
    </w:p>
    <w:p>
      <w:pPr>
        <w:pStyle w:val="Heading2"/>
      </w:pPr>
      <w:r>
        <w:rPr>
          <w:color w:val="14213D"/>
        </w:rPr>
        <w:t>Niveau 2 · Vakbekwaam · OutSystems (O11 &amp; ODC)</w:t>
      </w:r>
    </w:p>
    <w:p>
      <w:pPr>
        <w:spacing w:before="80" w:after="80"/>
        <w:pBdr>
          <w:bottom w:val="single" w:sz="6" w:color="E9A13B"/>
        </w:pBdr>
      </w:pPr>
    </w:p>
    <w:p>
      <w:pPr>
        <w:pStyle w:val="Heading2"/>
      </w:pPr>
      <w:r>
        <w:rPr>
          <w:color w:val="14213D"/>
        </w:rPr>
        <w:t>13.1 Wanneer een entity landschap-eigendom wordt</w:t>
      </w:r>
    </w:p>
    <w:p>
      <w:r>
        <w:t xml:space="preserve">In niveau 1 hoorde elke entity bij precies één app. Zodra </w:t>
      </w:r>
      <w:r>
        <w:rPr>
          <w:rFonts w:ascii="Consolas" w:hAnsi="Consolas"/>
        </w:rPr>
        <w:t>MeridiaanMutatiesCore</w:t>
      </w:r>
      <w:r>
        <w:t xml:space="preserve"> bestaat (deel 12), ontstaat een nieuwe vraag: waar leeft de entity </w:t>
      </w:r>
      <w:r>
        <w:rPr>
          <w:rFonts w:ascii="Consolas" w:hAnsi="Consolas"/>
        </w:rPr>
        <w:t>Werkgever</w:t>
      </w:r>
      <w:r>
        <w:t>? WGP 2.0 heeft hem nodig, Verzuimmeldingen ook, en straks mogelijk nog meer satellieten. De entity verhuist logisch naar de Core-library — maar dat heeft gevolgen die je in niveau 1 nooit hoefde te overwegen.</w:t>
      </w:r>
    </w:p>
    <w:p>
      <w:r>
        <w:rPr>
          <w:b/>
        </w:rPr>
        <w:t>Eigenaarschap wordt expliciet.</w:t>
      </w:r>
      <w:r>
        <w:t xml:space="preserve"> Eén module is verantwoordelijk voor het beheer van </w:t>
      </w:r>
      <w:r>
        <w:rPr>
          <w:rFonts w:ascii="Consolas" w:hAnsi="Consolas"/>
        </w:rPr>
        <w:t>Werkgever</w:t>
      </w:r>
      <w:r>
        <w:t xml:space="preserve"> (schrijven, valideren, de levenscyclus). Andere modules mogen de entity lezen en ernaar verwijzen via de relatie, maar horen niet buiten de eigenaar om te schrijven. Dit is geen technische beperking van het platform — het is een architectuurdiscipline die je zelf moet bewaken.</w:t>
      </w:r>
    </w:p>
    <w:p>
      <w:pPr>
        <w:spacing w:before="80" w:after="80"/>
        <w:pBdr>
          <w:bottom w:val="single" w:sz="6" w:color="E9A13B"/>
        </w:pBdr>
      </w:pPr>
    </w:p>
    <w:p>
      <w:pPr>
        <w:pStyle w:val="Heading2"/>
      </w:pPr>
      <w:r>
        <w:rPr>
          <w:color w:val="14213D"/>
        </w:rPr>
        <w:t>13.2 Koppelvlakken: entity-relatie versus API</w:t>
      </w:r>
    </w:p>
    <w:p>
      <w:r>
        <w:t xml:space="preserve">Zodra </w:t>
      </w:r>
      <w:r>
        <w:rPr>
          <w:rFonts w:ascii="Consolas" w:hAnsi="Consolas"/>
        </w:rPr>
        <w:t>Werkgever</w:t>
      </w:r>
      <w:r>
        <w:t xml:space="preserve"> in een Core-module leeft, heb je twee manieren om ernaar te verwijzen vanuit WGP 2.0 of Verzuimmeldingen: een </w:t>
      </w:r>
      <w:r>
        <w:rPr>
          <w:b/>
        </w:rPr>
        <w:t>directe entity-relatie</w:t>
      </w:r>
      <w:r>
        <w:t xml:space="preserve"> (zoals in niveau 1, maar nu over modulegrenzen heen) of een </w:t>
      </w:r>
      <w:r>
        <w:rPr>
          <w:b/>
        </w:rPr>
        <w:t>API-koppelvlak</w:t>
      </w:r>
      <w:r>
        <w:t xml:space="preserve"> (zoals in deel 9, REST).</w:t>
      </w:r>
    </w:p>
    <w:p>
      <w:r>
        <w:t xml:space="preserve">De vuistregel: binnen hetzelfde landschap, onder jouw eigen architecturale controle, is een directe entity-relatie via een library meestal eenvoudiger en performanter. Zodra de grens een organisatiegrens wordt — bijvoorbeeld als een extern systeem (het Mutatieplatform) toegang nodig heeft — is een API-koppelvlak de juiste keuze, precies zoals de API-cursus behandelt. Voor Meridiaan: </w:t>
      </w:r>
      <w:r>
        <w:rPr>
          <w:rFonts w:ascii="Consolas" w:hAnsi="Consolas"/>
        </w:rPr>
        <w:t>Werkgever</w:t>
      </w:r>
      <w:r>
        <w:t xml:space="preserve"> deel je via een library-relatie tussen je eigen OutSystems-modules, maar de Mutatie-API blijft een REST-koppelvlak, omdat het Mutatieplatform buiten deze modulegrens valt.</w:t>
      </w:r>
    </w:p>
    <w:p>
      <w:pPr>
        <w:spacing w:before="80" w:after="80"/>
        <w:pBdr>
          <w:bottom w:val="single" w:sz="6" w:color="E9A13B"/>
        </w:pBdr>
      </w:pPr>
    </w:p>
    <w:p>
      <w:pPr>
        <w:pStyle w:val="Heading2"/>
      </w:pPr>
      <w:r>
        <w:rPr>
          <w:color w:val="14213D"/>
        </w:rPr>
        <w:t>13.3 Wat er verandert bij schaal: consistentie boven snelheid</w:t>
      </w:r>
    </w:p>
    <w:p>
      <w:r>
        <w:t xml:space="preserve">In niveau 1 kon je een datamodel-wijziging meteen doorvoeren zonder veel gevolgen. Zodra </w:t>
      </w:r>
      <w:r>
        <w:rPr>
          <w:rFonts w:ascii="Consolas" w:hAnsi="Consolas"/>
        </w:rPr>
        <w:t>Werkgever</w:t>
      </w:r>
      <w:r>
        <w:t xml:space="preserve"> door meerdere modules wordt gebruikt, heeft elke wijziging — een nieuw verplicht attribuut, een aangepaste relatie — impact op alle afhankelijke modules. TrueChange (deel 2) laat zien wélke modules geraakt worden, maar de beslissing of en wanneer je die wijziging doorvoert, wordt nu een gecoördineerde afweging in plaats van een individuele keuze.</w:t>
      </w:r>
    </w:p>
    <w:p>
      <w:pPr>
        <w:spacing w:before="80" w:after="80"/>
        <w:pBdr>
          <w:bottom w:val="single" w:sz="6" w:color="E9A13B"/>
        </w:pBdr>
      </w:pPr>
    </w:p>
    <w:p>
      <w:pPr>
        <w:pStyle w:val="Heading2"/>
      </w:pPr>
      <w:r>
        <w:rPr>
          <w:color w:val="14213D"/>
        </w:rPr>
        <w:t>13.4 Spoorsplitsing: datamodellering op schaal in O11 versus ODC</w:t>
      </w:r>
    </w:p>
    <w:p>
      <w:r>
        <w:t xml:space="preserve">Het onderscheid tussen eigenaarschap, directe relatie en API-koppelvlak is platformonafhankelijk. Het praktische verschil: in </w:t>
      </w:r>
      <w:r>
        <w:rPr>
          <w:b/>
        </w:rPr>
        <w:t>O11</w:t>
      </w:r>
      <w:r>
        <w:t xml:space="preserve">, met soms directe databasetoegang (deel 3), is de verleiding groter om een entity "stiekem" ook buiten de eigenaarsmodule om aan te passen — via een rapportagequery direct op de database bijvoorbeeld. In </w:t>
      </w:r>
      <w:r>
        <w:rPr>
          <w:b/>
        </w:rPr>
        <w:t>ODC</w:t>
      </w:r>
      <w:r>
        <w:t>, waar databasetoegang primair via de entity-laag verloopt, is die sluiproute minder toegankelijk, wat het architecturale eigenaarschap effectiever afdwingt.</w:t>
      </w:r>
    </w:p>
    <w:p>
      <w:pPr>
        <w:spacing w:before="80" w:after="80"/>
        <w:pBdr>
          <w:bottom w:val="single" w:sz="6" w:color="E9A13B"/>
        </w:pBdr>
      </w:pPr>
    </w:p>
    <w:p>
      <w:pPr>
        <w:pStyle w:val="Heading2"/>
      </w:pPr>
      <w:r>
        <w:rPr>
          <w:color w:val="14213D"/>
        </w:rPr>
        <w:t>Kernpunten</w:t>
      </w:r>
    </w:p>
    <w:p>
      <w:pPr>
        <w:pStyle w:val="ListBullet"/>
      </w:pPr>
      <w:r>
        <w:t>Zodra een entity door meerdere modules gebruikt wordt, is expliciet eigenaarschap nodig: één module schrijft, andere lezen</w:t>
      </w:r>
    </w:p>
    <w:p>
      <w:pPr>
        <w:pStyle w:val="ListBullet"/>
      </w:pPr>
      <w:r>
        <w:t>Directe entity-relatie voor koppelingen binnen je eigen landschap; API-koppelvlak over organisatiegrenzen heen</w:t>
      </w:r>
    </w:p>
    <w:p>
      <w:pPr>
        <w:pStyle w:val="ListBullet"/>
      </w:pPr>
      <w:r>
        <w:t>Elke wijziging aan een gedeeld datamodel is nu een gecoördineerde afweging, geen individuele keuze</w:t>
      </w:r>
    </w:p>
    <w:p>
      <w:pPr>
        <w:pStyle w:val="ListBullet"/>
      </w:pPr>
      <w:r>
        <w:t>O11's directe databasetoegang maakt het eigenaarschapsprincipe makkelijker te omzeilen dan in ODC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