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13 — Datamodellering op schaal</w:t>
      </w:r>
    </w:p>
    <w:p>
      <w:pPr>
        <w:spacing w:before="80" w:after="80"/>
        <w:pBdr>
          <w:bottom w:val="single" w:sz="6" w:color="E9A13B"/>
        </w:pBdr>
      </w:pPr>
    </w:p>
    <w:p>
      <w:pPr>
        <w:pStyle w:val="Heading2"/>
      </w:pPr>
      <w:r>
        <w:rPr>
          <w:color w:val="14213D"/>
        </w:rPr>
        <w:t>Opdracht 13.1 — Relatie of API? (beide banen gezamenlijk)</w:t>
      </w:r>
    </w:p>
    <w:p>
      <w:r>
        <w:t>Bepaal per situatie of een directe entity-relatie of een API-koppelvlak passend is.</w:t>
      </w:r>
    </w:p>
    <w:p>
      <w:r>
        <w:rPr>
          <w:b/>
        </w:rPr>
        <w:t>a.</w:t>
      </w:r>
      <w:r>
        <w:t xml:space="preserve"> WGP 2.0 wil de </w:t>
      </w:r>
      <w:r>
        <w:rPr>
          <w:rFonts w:ascii="Consolas" w:hAnsi="Consolas"/>
        </w:rPr>
        <w:t>Werkgever</w:t>
      </w:r>
      <w:r>
        <w:t xml:space="preserve">-gegevens tonen die in </w:t>
      </w:r>
      <w:r>
        <w:rPr>
          <w:rFonts w:ascii="Consolas" w:hAnsi="Consolas"/>
        </w:rPr>
        <w:t>MeridiaanMutatiesCore</w:t>
      </w:r>
      <w:r>
        <w:t xml:space="preserve"> leven.</w:t>
      </w:r>
    </w:p>
    <w:p>
      <w:r>
        <w:rPr>
          <w:b/>
        </w:rPr>
        <w:t>b.</w:t>
      </w:r>
      <w:r>
        <w:t xml:space="preserve"> Het Mutatieplatform wil weten welke werkgevers actief zijn in Verzuimmeldingen.</w:t>
      </w:r>
    </w:p>
    <w:p>
      <w:r>
        <w:rPr>
          <w:b/>
        </w:rPr>
        <w:t>c.</w:t>
      </w:r>
      <w:r>
        <w:t xml:space="preserve"> Een toekomstige satellietapp, nog te bouwen, wil ook </w:t>
      </w:r>
      <w:r>
        <w:rPr>
          <w:rFonts w:ascii="Consolas" w:hAnsi="Consolas"/>
        </w:rPr>
        <w:t>Werkgever</w:t>
      </w:r>
      <w:r>
        <w:t xml:space="preserve"> kunnen raadplegen.</w:t>
      </w:r>
    </w:p>
    <w:p>
      <w:pPr>
        <w:pStyle w:val="Heading3"/>
      </w:pPr>
      <w:r>
        <w:rPr>
          <w:color w:val="2563A8"/>
        </w:rPr>
        <w:t>Uitwerking 13.1</w:t>
      </w:r>
    </w:p>
    <w:p>
      <w:r>
        <w:rPr>
          <w:b/>
        </w:rPr>
        <w:t>a.</w:t>
      </w:r>
      <w:r>
        <w:t xml:space="preserve"> Directe entity-relatie via de library — beide binnen hetzelfde OutSystems-landschap, onder eigen architecturale controle.</w:t>
      </w:r>
    </w:p>
    <w:p>
      <w:r>
        <w:rPr>
          <w:b/>
        </w:rPr>
        <w:t>b.</w:t>
      </w:r>
      <w:r>
        <w:t xml:space="preserve"> API-koppelvlak — het Mutatieplatform valt buiten de modulegrens, een organisatiegrens in de zin van deel 13.2.</w:t>
      </w:r>
    </w:p>
    <w:p>
      <w:r>
        <w:rPr>
          <w:b/>
        </w:rPr>
        <w:t>c.</w:t>
      </w:r>
      <w:r>
        <w:t xml:space="preserve"> Directe entity-relatie via de library — ook een toekomstige satellietapp blijft binnen hetzelfde landschap.</w:t>
      </w:r>
    </w:p>
    <w:p>
      <w:pPr>
        <w:spacing w:before="80" w:after="80"/>
        <w:pBdr>
          <w:bottom w:val="single" w:sz="6" w:color="E9A13B"/>
        </w:pBdr>
      </w:pPr>
    </w:p>
    <w:p>
      <w:pPr>
        <w:pStyle w:val="Heading2"/>
      </w:pPr>
      <w:r>
        <w:rPr>
          <w:color w:val="14213D"/>
        </w:rPr>
        <w:t>Baan A — OutSystems 11</w:t>
      </w:r>
    </w:p>
    <w:p>
      <w:pPr>
        <w:pStyle w:val="Heading3"/>
      </w:pPr>
      <w:r>
        <w:rPr>
          <w:color w:val="2563A8"/>
        </w:rPr>
        <w:t>Opdracht 13.A — Werkgever verplaatsen naar de Core-library in Service Studio</w:t>
      </w:r>
    </w:p>
    <w:p>
      <w:r>
        <w:t xml:space="preserve">Verplaats de entity </w:t>
      </w:r>
      <w:r>
        <w:rPr>
          <w:rFonts w:ascii="Consolas" w:hAnsi="Consolas"/>
        </w:rPr>
        <w:t>Werkgever</w:t>
      </w:r>
      <w:r>
        <w:t xml:space="preserve"> van </w:t>
      </w:r>
      <w:r>
        <w:rPr>
          <w:rFonts w:ascii="Consolas" w:hAnsi="Consolas"/>
        </w:rPr>
        <w:t>VerzuimO11</w:t>
      </w:r>
      <w:r>
        <w:t xml:space="preserve"> naar </w:t>
      </w:r>
      <w:r>
        <w:rPr>
          <w:rFonts w:ascii="Consolas" w:hAnsi="Consolas"/>
        </w:rPr>
        <w:t>MeridiaanMutatiesCoreO11</w:t>
      </w:r>
      <w:r>
        <w:t xml:space="preserve"> (uit deel 12). Pas </w:t>
      </w:r>
      <w:r>
        <w:rPr>
          <w:rFonts w:ascii="Consolas" w:hAnsi="Consolas"/>
        </w:rPr>
        <w:t>VerzuimO11</w:t>
      </w:r>
      <w:r>
        <w:t xml:space="preserve"> aan om </w:t>
      </w:r>
      <w:r>
        <w:rPr>
          <w:rFonts w:ascii="Consolas" w:hAnsi="Consolas"/>
        </w:rPr>
        <w:t>Werkgever</w:t>
      </w:r>
      <w:r>
        <w:t xml:space="preserve"> via een relatie naar de library te benaderen in plaats van een lokale entity. Documenteer wie voortaan "eigenaar" is van het schrijven naar </w:t>
      </w:r>
      <w:r>
        <w:rPr>
          <w:rFonts w:ascii="Consolas" w:hAnsi="Consolas"/>
        </w:rPr>
        <w:t>Werkgever</w:t>
      </w:r>
      <w:r>
        <w:t>.</w:t>
      </w:r>
    </w:p>
    <w:p>
      <w:pPr>
        <w:pStyle w:val="Heading3"/>
      </w:pPr>
      <w:r>
        <w:rPr>
          <w:color w:val="2563A8"/>
        </w:rPr>
        <w:t>Uitwerking 13.A</w:t>
      </w:r>
    </w:p>
    <w:p>
      <w:r>
        <w:t xml:space="preserve">Na de verplaatsing toont TrueChange bij een volgende wijziging aan </w:t>
      </w:r>
      <w:r>
        <w:rPr>
          <w:rFonts w:ascii="Consolas" w:hAnsi="Consolas"/>
        </w:rPr>
        <w:t>Werkgever</w:t>
      </w:r>
      <w:r>
        <w:t xml:space="preserve"> welke afhankelijke modules (in ieder geval </w:t>
      </w:r>
      <w:r>
        <w:rPr>
          <w:rFonts w:ascii="Consolas" w:hAnsi="Consolas"/>
        </w:rPr>
        <w:t>VerzuimO11</w:t>
      </w:r>
      <w:r>
        <w:t xml:space="preserve">) opnieuw gepubliceerd moeten worden. Het eigenaarschap wordt vastgelegd als afspraak — bijvoorbeeld in het conventiedocument dat in deel 24 formeel wordt geïntroduceerd — met </w:t>
      </w:r>
      <w:r>
        <w:rPr>
          <w:rFonts w:ascii="Consolas" w:hAnsi="Consolas"/>
        </w:rPr>
        <w:t>MeridiaanMutatiesCoreO11</w:t>
      </w:r>
      <w:r>
        <w:t xml:space="preserve"> als enige module die schrijfacties op </w:t>
      </w:r>
      <w:r>
        <w:rPr>
          <w:rFonts w:ascii="Consolas" w:hAnsi="Consolas"/>
        </w:rPr>
        <w:t>Werkgever</w:t>
      </w:r>
      <w:r>
        <w:t xml:space="preserve"> mag bevatten.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13.B — Werkgever verplaatsen naar de Core-library in ODC Studio</w:t>
      </w:r>
    </w:p>
    <w:p>
      <w:r>
        <w:t xml:space="preserve">Herhaal Opdracht 13.A in </w:t>
      </w:r>
      <w:r>
        <w:rPr>
          <w:rFonts w:ascii="Consolas" w:hAnsi="Consolas"/>
        </w:rPr>
        <w:t>VerzuimODC</w:t>
      </w:r>
      <w:r>
        <w:t xml:space="preserve"> met </w:t>
      </w:r>
      <w:r>
        <w:rPr>
          <w:rFonts w:ascii="Consolas" w:hAnsi="Consolas"/>
        </w:rPr>
        <w:t>MeridiaanMutatiesCoreODC</w:t>
      </w:r>
      <w:r>
        <w:t xml:space="preserve">. Probeer bewust vanuit </w:t>
      </w:r>
      <w:r>
        <w:rPr>
          <w:rFonts w:ascii="Consolas" w:hAnsi="Consolas"/>
        </w:rPr>
        <w:t>VerzuimODC</w:t>
      </w:r>
      <w:r>
        <w:t xml:space="preserve"> een schrijfactie op </w:t>
      </w:r>
      <w:r>
        <w:rPr>
          <w:rFonts w:ascii="Consolas" w:hAnsi="Consolas"/>
        </w:rPr>
        <w:t>Werkgever</w:t>
      </w:r>
      <w:r>
        <w:t xml:space="preserve"> te bouwen zonder via de library te gaan, en observeer wat er gebeurt.</w:t>
      </w:r>
    </w:p>
    <w:p>
      <w:pPr>
        <w:pStyle w:val="Heading3"/>
      </w:pPr>
      <w:r>
        <w:rPr>
          <w:color w:val="2563A8"/>
        </w:rPr>
        <w:t>Uitwerking 13.B</w:t>
      </w:r>
    </w:p>
    <w:p>
      <w:r>
        <w:t>Omdat ODC databasetoegang primair via de entity-laag stuurt (zie deel 3), is een sluiproute om buiten de eigenaarsmodule om te schrijven technisch lastiger te construeren dan in O11 — het platform leidt je bijna vanzelf terug naar de relatie via de library. Herkenningspunt: dit bevestigt concreet het verschil dat de reader beschrijft — geen conceptueel verschil, wel een verschil in hoe makkelijk het architecturale principe te omzeilen is.</w:t>
      </w:r>
    </w:p>
    <w:p>
      <w:pPr>
        <w:spacing w:before="80" w:after="80"/>
        <w:pBdr>
          <w:bottom w:val="single" w:sz="6" w:color="E9A13B"/>
        </w:pBdr>
      </w:pPr>
    </w:p>
    <w:p>
      <w:pPr>
        <w:pStyle w:val="Heading2"/>
      </w:pPr>
      <w:r>
        <w:rPr>
          <w:color w:val="14213D"/>
        </w:rPr>
        <w:t>Reflectieopdracht 13.2 (beide banen gezamenlijk)</w:t>
      </w:r>
    </w:p>
    <w:p>
      <w:r>
        <w:t>Waarom is "eigenaarschap" van een entity een organisatorische afspraak en geen puur technisch mechanisme, ook al helpt het platform (vooral in ODC) om het af te dwingen?</w:t>
      </w:r>
    </w:p>
    <w:p>
      <w:pPr>
        <w:pStyle w:val="Heading3"/>
      </w:pPr>
      <w:r>
        <w:rPr>
          <w:color w:val="2563A8"/>
        </w:rPr>
        <w:t>Uitwerking 13.2</w:t>
      </w:r>
    </w:p>
    <w:p>
      <w:r>
        <w:t xml:space="preserve">Het platform kan de technische mogelijkheid om buiten de eigenaarsmodule om te schrijven beperken (sterker in ODC dan in O11), maar het kan niet garanderen dat teams die op verschillende satellieten werken zich bewust zijn van wie de eigenaar is, of waarom een wijziging aan </w:t>
      </w:r>
      <w:r>
        <w:rPr>
          <w:rFonts w:ascii="Consolas" w:hAnsi="Consolas"/>
        </w:rPr>
        <w:t>Werkgever</w:t>
      </w:r>
      <w:r>
        <w:t xml:space="preserve"> gecoördineerd moet worden. Zonder een expliciete, gedeelde afspraak — vastgelegd en gecommuniceerd, niet alleen technisch afgedwongen — loop je het risico dat een team de eigenaarsregel simpelweg niet kent, ook als het platform de weg ernaartoe bemoeilijkt. Techniek en afspraak zijn allebei nodig; techniek alleen is niet genoeg.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