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15 — UI op schaal (2 dagdelen)</w:t>
      </w:r>
    </w:p>
    <w:p>
      <w:r>
        <w:rPr>
          <w:b/>
        </w:rPr>
        <w:t>Duur:</w:t>
      </w:r>
      <w:r>
        <w:t xml:space="preserve"> 2 dagdelen (± 6 uur totaal)</w:t>
      </w:r>
    </w:p>
    <w:p>
      <w:r>
        <w:rPr>
          <w:b/>
        </w:rPr>
        <w:t>Vereiste voorkennis:</w:t>
      </w:r>
      <w:r>
        <w:t xml:space="preserve"> Deel 5 (Interface), deel 11-14</w:t>
      </w:r>
    </w:p>
    <w:p>
      <w:r>
        <w:rPr>
          <w:b/>
        </w:rPr>
        <w:t>Materialen:</w:t>
      </w:r>
      <w:r>
        <w:t xml:space="preserve"> Reader, Werkboek, Slidedeck, Service Studio en ODC Studio-toegang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Het onderscheid tussen een design system (styling) en een Core-library (bedrijfslogica) toepassen</w:t>
      </w:r>
    </w:p>
    <w:p>
      <w:pPr>
        <w:pStyle w:val="ListNumber"/>
      </w:pPr>
      <w:r>
        <w:t>Een generieke blockbibliotheek bouwen zonder bedrijfslogica te lekken</w:t>
      </w:r>
    </w:p>
    <w:p>
      <w:pPr>
        <w:pStyle w:val="ListNumber"/>
      </w:pPr>
      <w:r>
        <w:t>Een afweging maken tussen direct doorvoeren en gecontroleerd uitrollen van een gedeelde stijlwijziging</w:t>
      </w:r>
    </w:p>
    <w:p>
      <w:pPr>
        <w:pStyle w:val="Heading2"/>
      </w:pPr>
      <w:r>
        <w:rPr>
          <w:color w:val="14213D"/>
        </w:rPr>
        <w:t>Tijdsindeling Dagdeel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0:00–0:20</w:t>
            </w:r>
          </w:p>
        </w:tc>
        <w:tc>
          <w:tcPr>
            <w:tcW w:type="dxa" w:w="4320"/>
          </w:tcPr>
          <w:p>
            <w:r>
              <w:t>Terugblik deel 11-14, intro UI op schaal, aankondiging tweedaags karakter</w:t>
            </w:r>
          </w:p>
        </w:tc>
      </w:tr>
      <w:tr>
        <w:tc>
          <w:tcPr>
            <w:tcW w:type="dxa" w:w="4320"/>
          </w:tcPr>
          <w:p>
            <w:r>
              <w:t>0:20–0:50</w:t>
            </w:r>
          </w:p>
        </w:tc>
        <w:tc>
          <w:tcPr>
            <w:tcW w:type="dxa" w:w="4320"/>
          </w:tcPr>
          <w:p>
            <w:r>
              <w:t>Reader 15.1–15.2, discussie block-wildgroei</w:t>
            </w:r>
          </w:p>
        </w:tc>
      </w:tr>
      <w:tr>
        <w:tc>
          <w:tcPr>
            <w:tcW w:type="dxa" w:w="4320"/>
          </w:tcPr>
          <w:p>
            <w:r>
              <w:t>0:50–1:15</w:t>
            </w:r>
          </w:p>
        </w:tc>
        <w:tc>
          <w:tcPr>
            <w:tcW w:type="dxa" w:w="4320"/>
          </w:tcPr>
          <w:p>
            <w:r>
              <w:t>Opdracht 15.1,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1:30–2:30</w:t>
            </w:r>
          </w:p>
        </w:tc>
        <w:tc>
          <w:tcPr>
            <w:tcW w:type="dxa" w:w="4320"/>
          </w:tcPr>
          <w:p>
            <w:r>
              <w:t>Baan A/B: design system + thema opzetten</w:t>
            </w:r>
          </w:p>
        </w:tc>
      </w:tr>
      <w:tr>
        <w:tc>
          <w:tcPr>
            <w:tcW w:type="dxa" w:w="4320"/>
          </w:tcPr>
          <w:p>
            <w:r>
              <w:t>2:30–3:00</w:t>
            </w:r>
          </w:p>
        </w:tc>
        <w:tc>
          <w:tcPr>
            <w:tcW w:type="dxa" w:w="4320"/>
          </w:tcPr>
          <w:p>
            <w:r>
              <w:t>Reader 15.3, vooruitblik dagdeel B</w:t>
            </w:r>
          </w:p>
        </w:tc>
      </w:tr>
    </w:tbl>
    <w:p/>
    <w:p>
      <w:pPr>
        <w:pStyle w:val="Heading2"/>
      </w:pPr>
      <w:r>
        <w:rPr>
          <w:color w:val="14213D"/>
        </w:rPr>
        <w:t>Tijdsindeling Dagdeel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dagdeel A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15.4, discussie "bevat dit block bedrijfslogica"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15.2,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blockbibliotheek bouwen en toepassen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15.5, reflectieopdracht 15.3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16 (integratie op schaal)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De scheiding design system/Core is voor sommige deelnemers minder intuïtief dan de scheiding uit deel 11 (End-User/Core/Foundation) — besteed er expliciete aandacht aan.</w:t>
      </w:r>
      <w:r>
        <w:t xml:space="preserve"> Een veelgemaakte fout: een block dat "bijna" generiek is, maar toch een klein stukje bedrijfslogica bevat "omdat het handig uitkwam." Gebruik Opdracht 15.2b als scherp, herkenbaar voorbeeld van waar de grens ligt.</w:t>
      </w:r>
    </w:p>
    <w:p>
      <w:r>
        <w:rPr>
          <w:b/>
        </w:rPr>
        <w:t>Opdracht 15.C/D (blockbibliotheek toepassen op Verzuimmeldingen) is het bewijsmoment van dit deel — bewaak dat deelnemers daadwerkelijk de oude, lokale styling verwijderen, niet alleen de nieuwe blocks ernaast zetten.</w:t>
      </w:r>
      <w:r>
        <w:t xml:space="preserve"> Het punt is vervanging, niet toevoeging.</w:t>
      </w:r>
    </w:p>
    <w:p>
      <w:r>
        <w:rPr>
          <w:b/>
        </w:rPr>
        <w:t>Reflectieopdracht 15.3 verdient ruime tijd — dit is de eerste keer dat "gecontroleerde uitrol" als concept wordt geïntroduceerd, en het keert in deel 19 (lifecycle/DevOps) uitgebreid terug.</w:t>
      </w:r>
      <w:r>
        <w:t xml:space="preserve"> Een goede voorbereiding hier bespaart uitleg in deel 19.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"Is het design system niet gewoon hetzelfde als een Foundation-laag-module uit deel 11?"</w:t>
      </w:r>
    </w:p>
    <w:p>
      <w:r>
        <w:t>Ja, het design system ís een Foundation-laag-module — dit deel werkt dat concept concreet uit met een specifiek voorbeeld (styling), naast de al bestaande Core-laag-invulling (bedrijfslogica).</w:t>
      </w:r>
    </w:p>
    <w:p>
      <w:r>
        <w:rPr>
          <w:b/>
        </w:rPr>
        <w:t>"Moeten we de veertien O11-satellieten nu allemaal meteen naar het nieuwe design system migreren?"</w:t>
      </w:r>
    </w:p>
    <w:p>
      <w:r>
        <w:t>Nee, expliciet niet in het kader van dit deel — dat is een aparte, grotere afweging die in niveau 3 (migratie, portfoliobesluiten) aan bod komt. Voor nu geldt: nieuwbouw (WGP 2.0, en optioneel Verzuimmeldingen als oefening) gebruikt het nieuwe systeem, bestaande satellieten blijven ongemoeid tenzij er een andere reden is om ze aan te passen.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