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Werkboek Deel 15 — UI op schaal (2 dagdelen)</w:t>
      </w:r>
    </w:p>
    <w:p>
      <w:pPr>
        <w:spacing w:before="80" w:after="80"/>
        <w:pBdr>
          <w:bottom w:val="single" w:sz="6" w:color="E9A13B"/>
        </w:pBdr>
      </w:pPr>
    </w:p>
    <w:p>
      <w:pPr>
        <w:pStyle w:val="Heading2"/>
      </w:pPr>
      <w:r>
        <w:rPr>
          <w:color w:val="14213D"/>
        </w:rPr>
        <w:t>Dagdeel A</w:t>
      </w:r>
    </w:p>
    <w:p>
      <w:pPr>
        <w:pStyle w:val="Heading3"/>
      </w:pPr>
      <w:r>
        <w:rPr>
          <w:color w:val="2563A8"/>
        </w:rPr>
        <w:t>Opdracht 15.1 — Design system of Core? (beide banen gezamenlijk)</w:t>
      </w:r>
    </w:p>
    <w:p>
      <w:r>
        <w:t xml:space="preserve">Bepaal per bouwsteen of deze in </w:t>
      </w:r>
      <w:r>
        <w:rPr>
          <w:rFonts w:ascii="Consolas" w:hAnsi="Consolas"/>
        </w:rPr>
        <w:t>MeridiaanDesignSystem</w:t>
      </w:r>
      <w:r>
        <w:t xml:space="preserve"> of in </w:t>
      </w:r>
      <w:r>
        <w:rPr>
          <w:rFonts w:ascii="Consolas" w:hAnsi="Consolas"/>
        </w:rPr>
        <w:t>MeridiaanMutatiesCore</w:t>
      </w:r>
      <w:r>
        <w:t xml:space="preserve"> hoort.</w:t>
      </w:r>
    </w:p>
    <w:p>
      <w:r>
        <w:rPr>
          <w:b/>
        </w:rPr>
        <w:t>a.</w:t>
      </w:r>
      <w:r>
        <w:t xml:space="preserve"> De visuele stijl van een primaire actieknop (kleur, hoekafronding, hover-gedrag).</w:t>
      </w:r>
    </w:p>
    <w:p>
      <w:r>
        <w:rPr>
          <w:b/>
        </w:rPr>
        <w:t>b.</w:t>
      </w:r>
      <w:r>
        <w:t xml:space="preserve"> De logica die bepaalt of een melding mag worden goedgekeurd.</w:t>
      </w:r>
    </w:p>
    <w:p>
      <w:r>
        <w:rPr>
          <w:b/>
        </w:rPr>
        <w:t>c.</w:t>
      </w:r>
      <w:r>
        <w:t xml:space="preserve"> Een generiek kaart-element dat willekeurige tekst en een actieknop toont.</w:t>
      </w:r>
    </w:p>
    <w:p>
      <w:pPr>
        <w:pStyle w:val="Heading4"/>
      </w:pPr>
      <w:r>
        <w:rPr>
          <w:color w:val="2563A8"/>
        </w:rPr>
        <w:t>Uitwerking 15.1</w:t>
      </w:r>
    </w:p>
    <w:p>
      <w:r>
        <w:rPr>
          <w:b/>
        </w:rPr>
        <w:t>a.</w:t>
      </w:r>
      <w:r>
        <w:t xml:space="preserve"> Design system — puur styling, geen bedrijfslogica.</w:t>
      </w:r>
    </w:p>
    <w:p>
      <w:r>
        <w:rPr>
          <w:b/>
        </w:rPr>
        <w:t>b.</w:t>
      </w:r>
      <w:r>
        <w:t xml:space="preserve"> Core — bedrijfsregel, hoort niet in een stijllaag.</w:t>
      </w:r>
    </w:p>
    <w:p>
      <w:r>
        <w:rPr>
          <w:b/>
        </w:rPr>
        <w:t>c.</w:t>
      </w:r>
      <w:r>
        <w:t xml:space="preserve"> Design system — generiek, geen kennis van specifieke bedrijfscontext, ontvangt tekst en actie als parameter.</w:t>
      </w:r>
    </w:p>
    <w:p>
      <w:pPr>
        <w:pStyle w:val="Heading3"/>
      </w:pPr>
      <w:r>
        <w:rPr>
          <w:color w:val="2563A8"/>
        </w:rPr>
        <w:t>Baan A — Opdracht 15.A: Design system opzetten in Service Studio</w:t>
      </w:r>
    </w:p>
    <w:p>
      <w:r>
        <w:t xml:space="preserve">Maak </w:t>
      </w:r>
      <w:r>
        <w:rPr>
          <w:rFonts w:ascii="Consolas" w:hAnsi="Consolas"/>
        </w:rPr>
        <w:t>MeridiaanDesignSystemO11</w:t>
      </w:r>
      <w:r>
        <w:t xml:space="preserve"> aan als Foundation-laag-module met een Theme dat de Meridiaan-kleuren (Midnight Navy, Ductus Blue, Direction Amber) vastlegt. Laat </w:t>
      </w:r>
      <w:r>
        <w:rPr>
          <w:rFonts w:ascii="Consolas" w:hAnsi="Consolas"/>
        </w:rPr>
        <w:t>VerzuimO11</w:t>
      </w:r>
      <w:r>
        <w:t xml:space="preserve"> dit thema toepassen in plaats van het standaardthema.</w:t>
      </w:r>
    </w:p>
    <w:p>
      <w:pPr>
        <w:pStyle w:val="Heading4"/>
      </w:pPr>
      <w:r>
        <w:rPr>
          <w:color w:val="2563A8"/>
        </w:rPr>
        <w:t>Uitwerking 15.A</w:t>
      </w:r>
    </w:p>
    <w:p>
      <w:r>
        <w:t xml:space="preserve">Na toepassing van het gedeelde thema moeten kleuren en typografie in </w:t>
      </w:r>
      <w:r>
        <w:rPr>
          <w:rFonts w:ascii="Consolas" w:hAnsi="Consolas"/>
        </w:rPr>
        <w:t>VerzuimO11</w:t>
      </w:r>
      <w:r>
        <w:t xml:space="preserve"> visueel overeenkomen met de vastgelegde stijldefinities in </w:t>
      </w:r>
      <w:r>
        <w:rPr>
          <w:rFonts w:ascii="Consolas" w:hAnsi="Consolas"/>
        </w:rPr>
        <w:t>MeridiaanDesignSystemO11</w:t>
      </w:r>
      <w:r>
        <w:t xml:space="preserve">, zonder dat er losse kleurcodes rechtstreeks in </w:t>
      </w:r>
      <w:r>
        <w:rPr>
          <w:rFonts w:ascii="Consolas" w:hAnsi="Consolas"/>
        </w:rPr>
        <w:t>VerzuimO11</w:t>
      </w:r>
      <w:r>
        <w:t xml:space="preserve"> zelf zijn gehardcoded — elke kleurverwijzing loopt via het thema.</w:t>
      </w:r>
    </w:p>
    <w:p>
      <w:pPr>
        <w:pStyle w:val="Heading3"/>
      </w:pPr>
      <w:r>
        <w:rPr>
          <w:color w:val="2563A8"/>
        </w:rPr>
        <w:t>Baan B — Opdracht 15.B: Design system opzetten in ODC Studio</w:t>
      </w:r>
    </w:p>
    <w:p>
      <w:r>
        <w:t xml:space="preserve">Herhaal Opdracht 15.A in </w:t>
      </w:r>
      <w:r>
        <w:rPr>
          <w:rFonts w:ascii="Consolas" w:hAnsi="Consolas"/>
        </w:rPr>
        <w:t>VerzuimODC</w:t>
      </w:r>
      <w:r>
        <w:t xml:space="preserve"> met </w:t>
      </w:r>
      <w:r>
        <w:rPr>
          <w:rFonts w:ascii="Consolas" w:hAnsi="Consolas"/>
        </w:rPr>
        <w:t>MeridiaanDesignSystemODC</w:t>
      </w:r>
      <w:r>
        <w:t>. Noteer verschillen in hoe het thema wordt gekoppeld ten opzichte van Service Studio.</w:t>
      </w:r>
    </w:p>
    <w:p>
      <w:pPr>
        <w:pStyle w:val="Heading4"/>
      </w:pPr>
      <w:r>
        <w:rPr>
          <w:color w:val="2563A8"/>
        </w:rPr>
        <w:t>Uitwerking 15.B</w:t>
      </w:r>
    </w:p>
    <w:p>
      <w:r>
        <w:t>Themakoppeling verloopt functioneel gelijk — een module refereert naar het gedeelde thema — met een tooling-verschil vergelijkbaar met wat in eerdere delen is gezien: ODC's koppeling is dieper geïntegreerd in de workspace-structuur, O11 vereist een expliciete Theme-referentie per module.</w:t>
      </w:r>
    </w:p>
    <w:p>
      <w:pPr>
        <w:spacing w:before="80" w:after="80"/>
        <w:pBdr>
          <w:bottom w:val="single" w:sz="6" w:color="E9A13B"/>
        </w:pBdr>
      </w:pPr>
    </w:p>
    <w:p>
      <w:pPr>
        <w:pStyle w:val="Heading2"/>
      </w:pPr>
      <w:r>
        <w:rPr>
          <w:color w:val="14213D"/>
        </w:rPr>
        <w:t>Dagdeel B</w:t>
      </w:r>
    </w:p>
    <w:p>
      <w:pPr>
        <w:pStyle w:val="Heading3"/>
      </w:pPr>
      <w:r>
        <w:rPr>
          <w:color w:val="2563A8"/>
        </w:rPr>
        <w:t>Opdracht 15.2 — Bevat dit block bedrijfslogica? (beide banen gezamenlijk)</w:t>
      </w:r>
    </w:p>
    <w:p>
      <w:r>
        <w:t>Beoordeel of onderstaand block-ontwerp correct is voor het design system, of eigenlijk in een End-User-module hoort.</w:t>
      </w:r>
    </w:p>
    <w:p>
      <w:r>
        <w:rPr>
          <w:b/>
        </w:rPr>
        <w:t>a.</w:t>
      </w:r>
      <w:r>
        <w:t xml:space="preserve"> </w:t>
      </w:r>
      <w:r>
        <w:rPr>
          <w:rFonts w:ascii="Consolas" w:hAnsi="Consolas"/>
        </w:rPr>
        <w:t>KnopPrimair(Tekst, OnClick)</w:t>
      </w:r>
      <w:r>
        <w:t xml:space="preserve"> — generieke knop, ontvangt tekst en een actie.</w:t>
      </w:r>
    </w:p>
    <w:p>
      <w:r>
        <w:rPr>
          <w:b/>
        </w:rPr>
        <w:t>b.</w:t>
      </w:r>
      <w:r>
        <w:t xml:space="preserve"> </w:t>
      </w:r>
      <w:r>
        <w:rPr>
          <w:rFonts w:ascii="Consolas" w:hAnsi="Consolas"/>
        </w:rPr>
        <w:t>MeldingKnop(MeldingId)</w:t>
      </w:r>
      <w:r>
        <w:t xml:space="preserve"> — knop die intern een specifieke server action van Verzuimmeldingen aanroept om een melding goed te keuren.</w:t>
      </w:r>
    </w:p>
    <w:p>
      <w:pPr>
        <w:pStyle w:val="Heading4"/>
      </w:pPr>
      <w:r>
        <w:rPr>
          <w:color w:val="2563A8"/>
        </w:rPr>
        <w:t>Uitwerking 15.2</w:t>
      </w:r>
    </w:p>
    <w:p>
      <w:r>
        <w:rPr>
          <w:b/>
        </w:rPr>
        <w:t>a.</w:t>
      </w:r>
      <w:r>
        <w:t xml:space="preserve"> Correct voor het design system — volledig generiek, geen kennis van een specifiek domein.</w:t>
      </w:r>
    </w:p>
    <w:p>
      <w:r>
        <w:rPr>
          <w:b/>
        </w:rPr>
        <w:t>b.</w:t>
      </w:r>
      <w:r>
        <w:t xml:space="preserve"> Onjuist voor het design system — dit block kent </w:t>
      </w:r>
      <w:r>
        <w:rPr>
          <w:rFonts w:ascii="Consolas" w:hAnsi="Consolas"/>
        </w:rPr>
        <w:t>MeldingId</w:t>
      </w:r>
      <w:r>
        <w:t xml:space="preserve"> en roept specifieke bedrijfslogica aan, dus hoort in Verzuimmeldingen zelf (eventueel wél gebruikmakend van </w:t>
      </w:r>
      <w:r>
        <w:rPr>
          <w:rFonts w:ascii="Consolas" w:hAnsi="Consolas"/>
        </w:rPr>
        <w:t>KnopPrimair</w:t>
      </w:r>
      <w:r>
        <w:t xml:space="preserve"> als onderliggende styling-bouwsteen).</w:t>
      </w:r>
    </w:p>
    <w:p>
      <w:pPr>
        <w:pStyle w:val="Heading3"/>
      </w:pPr>
      <w:r>
        <w:rPr>
          <w:color w:val="2563A8"/>
        </w:rPr>
        <w:t>Baan A — Opdracht 15.C: Blockbibliotheek uitbreiden in Service Studio</w:t>
      </w:r>
    </w:p>
    <w:p>
      <w:r>
        <w:t xml:space="preserve">Bouw in </w:t>
      </w:r>
      <w:r>
        <w:rPr>
          <w:rFonts w:ascii="Consolas" w:hAnsi="Consolas"/>
        </w:rPr>
        <w:t>MeridiaanDesignSystemO11</w:t>
      </w:r>
      <w:r>
        <w:t xml:space="preserve"> de blocks </w:t>
      </w:r>
      <w:r>
        <w:rPr>
          <w:rFonts w:ascii="Consolas" w:hAnsi="Consolas"/>
        </w:rPr>
        <w:t>KnopPrimair</w:t>
      </w:r>
      <w:r>
        <w:t xml:space="preserve">, </w:t>
      </w:r>
      <w:r>
        <w:rPr>
          <w:rFonts w:ascii="Consolas" w:hAnsi="Consolas"/>
        </w:rPr>
        <w:t>KnopSecundair</w:t>
      </w:r>
      <w:r>
        <w:t xml:space="preserve"> en </w:t>
      </w:r>
      <w:r>
        <w:rPr>
          <w:rFonts w:ascii="Consolas" w:hAnsi="Consolas"/>
        </w:rPr>
        <w:t>MeldingBanner</w:t>
      </w:r>
      <w:r>
        <w:t xml:space="preserve"> (generieke statusmelding met kleur op basis van een type-parameter). Pas deze toe in </w:t>
      </w:r>
      <w:r>
        <w:rPr>
          <w:rFonts w:ascii="Consolas" w:hAnsi="Consolas"/>
        </w:rPr>
        <w:t>VerzuimO11</w:t>
      </w:r>
      <w:r>
        <w:t xml:space="preserve"> ter vervanging van de niveau-1-implementatie.</w:t>
      </w:r>
    </w:p>
    <w:p>
      <w:pPr>
        <w:pStyle w:val="Heading4"/>
      </w:pPr>
      <w:r>
        <w:rPr>
          <w:color w:val="2563A8"/>
        </w:rPr>
        <w:t>Uitwerking 15.C</w:t>
      </w:r>
    </w:p>
    <w:p>
      <w:r>
        <w:t xml:space="preserve">Bij correcte implementatie kan </w:t>
      </w:r>
      <w:r>
        <w:rPr>
          <w:rFonts w:ascii="Consolas" w:hAnsi="Consolas"/>
        </w:rPr>
        <w:t>VerzuimO11</w:t>
      </w:r>
      <w:r>
        <w:t xml:space="preserve"> na deze opdracht volledig draaien op de gedeelde blocks zonder eigen, lokale knop- of meldingstyling. Dit is het praktische bewijs dat de scheiding tussen design system en bedrijfslogica werkt: dezelfde blocks zijn straks ook bruikbaar in WGP 2.0.</w:t>
      </w:r>
    </w:p>
    <w:p>
      <w:pPr>
        <w:pStyle w:val="Heading3"/>
      </w:pPr>
      <w:r>
        <w:rPr>
          <w:color w:val="2563A8"/>
        </w:rPr>
        <w:t>Baan B — Opdracht 15.D: Blockbibliotheek uitbreiden in ODC Studio</w:t>
      </w:r>
    </w:p>
    <w:p>
      <w:r>
        <w:t xml:space="preserve">Herhaal Opdracht 15.C in </w:t>
      </w:r>
      <w:r>
        <w:rPr>
          <w:rFonts w:ascii="Consolas" w:hAnsi="Consolas"/>
        </w:rPr>
        <w:t>VerzuimODC</w:t>
      </w:r>
      <w:r>
        <w:t xml:space="preserve"> met </w:t>
      </w:r>
      <w:r>
        <w:rPr>
          <w:rFonts w:ascii="Consolas" w:hAnsi="Consolas"/>
        </w:rPr>
        <w:t>MeridiaanDesignSystemODC</w:t>
      </w:r>
      <w:r>
        <w:t>.</w:t>
      </w:r>
    </w:p>
    <w:p>
      <w:pPr>
        <w:pStyle w:val="Heading4"/>
      </w:pPr>
      <w:r>
        <w:rPr>
          <w:color w:val="2563A8"/>
        </w:rPr>
        <w:t>Uitwerking 15.D</w:t>
      </w:r>
    </w:p>
    <w:p>
      <w:r>
        <w:t>Functioneel identiek resultaat aan Baan A — de blocks gedragen zich hetzelfde, alleen de omringende tooling verschilt. Dit dagdeel laat, net als deel 7, weinig platformverschil zien — een goed moment om dat opnieuw expliciet te benoemen als contrast met deel 8 en deel 13.</w:t>
      </w:r>
    </w:p>
    <w:p>
      <w:pPr>
        <w:pStyle w:val="Heading3"/>
      </w:pPr>
      <w:r>
        <w:rPr>
          <w:color w:val="2563A8"/>
        </w:rPr>
        <w:t>Reflectieopdracht 15.3 (beide banen gezamenlijk)</w:t>
      </w:r>
    </w:p>
    <w:p>
      <w:r>
        <w:t>Waarom is gecontroleerde uitrol van een design system-wijziging vaak te verkiezen boven direct overal doorvoeren, specifiek voor een organisatie als Meridiaan met veertien bestaande satellieten?</w:t>
      </w:r>
    </w:p>
    <w:p>
      <w:pPr>
        <w:pStyle w:val="Heading4"/>
      </w:pPr>
      <w:r>
        <w:rPr>
          <w:color w:val="2563A8"/>
        </w:rPr>
        <w:t>Uitwerking 15.3</w:t>
      </w:r>
    </w:p>
    <w:p>
      <w:r>
        <w:t>Een grote, ongeplande visuele wijziging die tegelijk in alle vijftien modules verschijnt, kan onvoorziene interactie-effecten hebben met bestaande, mogelijk verouderde schermlogica in de oudere O11-satellieten — een risico dat bij een nieuw, kleiner landschap veel kleiner zou zijn. Gecontroleerde uitrol geeft elk team de kans om de wijziging eerst te testen in hun eigen context voordat die naar productie gaat, wat vooral bij een landschap met een mix van oude en nieuwe modules (precies de Meridiaan-situatie) het risico op onverwachte regressies aanzienlijk verkleint.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