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16 — Integratie op schaal</w:t>
      </w:r>
    </w:p>
    <w:p>
      <w:r>
        <w:rPr>
          <w:b/>
        </w:rPr>
        <w:t>Duur:</w:t>
      </w:r>
      <w:r>
        <w:t xml:space="preserve"> 1 dagdeel (± 3 uur)</w:t>
      </w:r>
    </w:p>
    <w:p>
      <w:r>
        <w:rPr>
          <w:b/>
        </w:rPr>
        <w:t>Vereiste voorkennis:</w:t>
      </w:r>
      <w:r>
        <w:t xml:space="preserve"> Deel 9, deel 11-15</w:t>
      </w:r>
    </w:p>
    <w:p>
      <w:r>
        <w:rPr>
          <w:b/>
        </w:rPr>
        <w:t>Materialen:</w:t>
      </w:r>
      <w:r>
        <w:t xml:space="preserve"> Reader, Werkboek, Slidedeck, Service Studio (met Integration Studio) en ODC Studio-toegang, gesimuleerd legacy-component voor de opleidingsomgeving</w:t>
      </w:r>
    </w:p>
    <w:p>
      <w:pPr>
        <w:pStyle w:val="Heading2"/>
      </w:pPr>
      <w:r>
        <w:rPr>
          <w:color w:val="14213D"/>
        </w:rPr>
        <w:t>Lesdoelen</w:t>
      </w:r>
    </w:p>
    <w:p>
      <w:pPr>
        <w:pStyle w:val="ListNumber"/>
      </w:pPr>
      <w:r>
        <w:t>Integration Studio toepassen om een systeem zonder REST-interface te ontsluiten in O11</w:t>
      </w:r>
    </w:p>
    <w:p>
      <w:pPr>
        <w:pStyle w:val="ListNumber"/>
      </w:pPr>
      <w:r>
        <w:t>Begrijpen waarom ODC een aparte tussenlaag nodig heeft voor datzelfde scenario</w:t>
      </w:r>
    </w:p>
    <w:p>
      <w:pPr>
        <w:pStyle w:val="ListNumber"/>
      </w:pPr>
      <w:r>
        <w:t>Een consistente retry-strategie op landschapsschaal ontwerpen</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9 en 11-15, intro integratie op schaal</w:t>
            </w:r>
          </w:p>
        </w:tc>
      </w:tr>
      <w:tr>
        <w:tc>
          <w:tcPr>
            <w:tcW w:type="dxa" w:w="4320"/>
          </w:tcPr>
          <w:p>
            <w:r>
              <w:t>0:15–0:45</w:t>
            </w:r>
          </w:p>
        </w:tc>
        <w:tc>
          <w:tcPr>
            <w:tcW w:type="dxa" w:w="4320"/>
          </w:tcPr>
          <w:p>
            <w:r>
              <w:t>Reader 16.1–16.2, uitleg Integration Studio</w:t>
            </w:r>
          </w:p>
        </w:tc>
      </w:tr>
      <w:tr>
        <w:tc>
          <w:tcPr>
            <w:tcW w:type="dxa" w:w="4320"/>
          </w:tcPr>
          <w:p>
            <w:r>
              <w:t>0:45–1:15</w:t>
            </w:r>
          </w:p>
        </w:tc>
        <w:tc>
          <w:tcPr>
            <w:tcW w:type="dxa" w:w="4320"/>
          </w:tcPr>
          <w:p>
            <w:r>
              <w:t>Opdracht 16.1,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legacy-ontsluiting O11 + ontwerp ODC-tussenlaag</w:t>
            </w:r>
          </w:p>
        </w:tc>
      </w:tr>
      <w:tr>
        <w:tc>
          <w:tcPr>
            <w:tcW w:type="dxa" w:w="4320"/>
          </w:tcPr>
          <w:p>
            <w:r>
              <w:t>2:15–2:45</w:t>
            </w:r>
          </w:p>
        </w:tc>
        <w:tc>
          <w:tcPr>
            <w:tcW w:type="dxa" w:w="4320"/>
          </w:tcPr>
          <w:p>
            <w:r>
              <w:t>Reader 16.3–16.4, reflectieopdracht 16.2</w:t>
            </w:r>
          </w:p>
        </w:tc>
      </w:tr>
      <w:tr>
        <w:tc>
          <w:tcPr>
            <w:tcW w:type="dxa" w:w="4320"/>
          </w:tcPr>
          <w:p>
            <w:r>
              <w:t>2:45–3:00</w:t>
            </w:r>
          </w:p>
        </w:tc>
        <w:tc>
          <w:tcPr>
            <w:tcW w:type="dxa" w:w="4320"/>
          </w:tcPr>
          <w:p>
            <w:r>
              <w:t>Vooruitblik deel 17 (beveiliging serieus)</w:t>
            </w:r>
          </w:p>
        </w:tc>
      </w:tr>
    </w:tbl>
    <w:p/>
    <w:p>
      <w:pPr>
        <w:pStyle w:val="Heading2"/>
      </w:pPr>
      <w:r>
        <w:rPr>
          <w:color w:val="14213D"/>
        </w:rPr>
        <w:t>Didactische aandachtspunten</w:t>
      </w:r>
    </w:p>
    <w:p>
      <w:r>
        <w:rPr>
          <w:b/>
        </w:rPr>
        <w:t>Dit deel is het eerste waarin O11 een structureel voordeel heeft dat ODC niet zomaar evenaart — behandel dat neutraal, niet triomfantelijk.</w:t>
      </w:r>
      <w:r>
        <w:t xml:space="preserve"> Eerdere delen lieten vaak ODC-voordelen zien (sterkere signalering, geïntegreerde monitoring); dit deel is een tegenwicht. Beide zijn legitieme, contextafhankelijke observaties, geen argument voor het ene platform boven het andere in algemene zin.</w:t>
      </w:r>
    </w:p>
    <w:p>
      <w:r>
        <w:rPr>
          <w:b/>
        </w:rPr>
        <w:t>Opdracht 16.B is bewust conceptueel, niet vereist als volledige bouw — bewaak de tijdsbesteding hierop.</w:t>
      </w:r>
      <w:r>
        <w:t xml:space="preserve"> Het doel is dat deelnemers het patroon (O11 als ontsluitingslaag, ODC als consument) begrijpen en kunnen tekenen/beschrijven, niet dat ze een volledige werkende tussenlaag bouwen binnen dit dagdeel.</w:t>
      </w:r>
    </w:p>
    <w:p>
      <w:r>
        <w:rPr>
          <w:b/>
        </w:rPr>
        <w:t>Leg de link naar deel 23 (migratie, niveau 3) expliciet — dit deel plant daar een belangrijk zaad.</w:t>
      </w:r>
      <w:r>
        <w:t xml:space="preserve"> Zolang legacy-systemen zonder moderne interface bestaan, blijft er een structurele rol voor O11 weggelegd, ook in een organisatie die verder overwegend naar ODC beweegt. Dit weerlegt het misverstand dat migratie naar ODC "alles" zou vervangen.</w:t>
      </w:r>
    </w:p>
    <w:p>
      <w:pPr>
        <w:pStyle w:val="Heading2"/>
      </w:pPr>
      <w:r>
        <w:rPr>
          <w:color w:val="14213D"/>
        </w:rPr>
        <w:t>Veelgestelde vragen</w:t>
      </w:r>
    </w:p>
    <w:p>
      <w:r>
        <w:rPr>
          <w:b/>
        </w:rPr>
        <w:t>"Kan ODC in de toekomst een eigen Integration Studio-achtig mechanisme krijgen?"</w:t>
      </w:r>
    </w:p>
    <w:p>
      <w:r>
        <w:t>Onzeker en buiten scope om te speculeren — behandel de huidige situatie zoals die is, en verwijs voor actuele platformontwikkelingen naar de Toolbijlagen, die periodiek worden bijgewerkt.</w:t>
      </w:r>
    </w:p>
    <w:p>
      <w:r>
        <w:rPr>
          <w:b/>
        </w:rPr>
        <w:t>"Is het niet inefficiënt om voor elke legacy-koppeling een aparte O11-tussenlaag te bouwen?"</w:t>
      </w:r>
    </w:p>
    <w:p>
      <w:r>
        <w:t>Erken het reële punt, maar nuanceer: één centrale, herbruikbare ontsluitingslaag (in plaats van losse wrappers per integratie) is vaak de betere aanpak — dit sluit aan bij het library-principe uit deel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