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Docentenhandleiding Deel 17 — Beveiliging serieus</w:t>
      </w:r>
    </w:p>
    <w:p>
      <w:r>
        <w:rPr>
          <w:b/>
        </w:rPr>
        <w:t>Duur:</w:t>
      </w:r>
      <w:r>
        <w:t xml:space="preserve"> 1 dagdeel (± 3 uur)</w:t>
      </w:r>
    </w:p>
    <w:p>
      <w:r>
        <w:rPr>
          <w:b/>
        </w:rPr>
        <w:t>Vereiste voorkennis:</w:t>
      </w:r>
      <w:r>
        <w:t xml:space="preserve"> Deel 8, deel 11-16</w:t>
      </w:r>
    </w:p>
    <w:p>
      <w:r>
        <w:rPr>
          <w:b/>
        </w:rPr>
        <w:t>Materialen:</w:t>
      </w:r>
      <w:r>
        <w:t xml:space="preserve"> Reader, Werkboek, Slidedeck, Service Studio en ODC Studio-toegang, test-identity provider voor SSO</w:t>
      </w:r>
    </w:p>
    <w:p>
      <w:pPr>
        <w:pStyle w:val="Heading2"/>
      </w:pPr>
      <w:r>
        <w:rPr>
          <w:color w:val="14213D"/>
        </w:rPr>
        <w:t>Lesdoelen</w:t>
      </w:r>
    </w:p>
    <w:p>
      <w:pPr>
        <w:pStyle w:val="ListNumber"/>
      </w:pPr>
      <w:r>
        <w:t>Onderscheiden welke OWASP-risico's het platform automatisch mitigeert en welke jouw verantwoordelijkheid blijven</w:t>
      </w:r>
    </w:p>
    <w:p>
      <w:pPr>
        <w:pStyle w:val="ListNumber"/>
      </w:pPr>
      <w:r>
        <w:t>SSO configureren en het configuratieverschil tussen O11 en ODC begrijpen</w:t>
      </w:r>
    </w:p>
    <w:p>
      <w:pPr>
        <w:pStyle w:val="ListNumber"/>
      </w:pPr>
      <w:r>
        <w:t>Een gestructureerd audit-patroon bouwen in de Core-laag</w:t>
      </w:r>
    </w:p>
    <w:p>
      <w:pPr>
        <w:pStyle w:val="ListNumber"/>
      </w:pPr>
      <w:r>
        <w:t>AVG-consequenties vertalen naar concrete technische keuzes</w:t>
      </w:r>
    </w:p>
    <w:p>
      <w:pPr>
        <w:pStyle w:val="Heading2"/>
      </w:pPr>
      <w:r>
        <w:rPr>
          <w:color w:val="14213D"/>
        </w:rPr>
        <w:t>Tijdsindeling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0:00–0:15</w:t>
            </w:r>
          </w:p>
        </w:tc>
        <w:tc>
          <w:tcPr>
            <w:tcW w:type="dxa" w:w="4320"/>
          </w:tcPr>
          <w:p>
            <w:r>
              <w:t>Terugblik deel 8, intro beveiliging serieus</w:t>
            </w:r>
          </w:p>
        </w:tc>
      </w:tr>
      <w:tr>
        <w:tc>
          <w:tcPr>
            <w:tcW w:type="dxa" w:w="4320"/>
          </w:tcPr>
          <w:p>
            <w:r>
              <w:t>0:15–0:45</w:t>
            </w:r>
          </w:p>
        </w:tc>
        <w:tc>
          <w:tcPr>
            <w:tcW w:type="dxa" w:w="4320"/>
          </w:tcPr>
          <w:p>
            <w:r>
              <w:t>Reader 17.1–17.2, discussie platform vs jouw verantwoordelijkheid</w:t>
            </w:r>
          </w:p>
        </w:tc>
      </w:tr>
      <w:tr>
        <w:tc>
          <w:tcPr>
            <w:tcW w:type="dxa" w:w="4320"/>
          </w:tcPr>
          <w:p>
            <w:r>
              <w:t>0:45–1:15</w:t>
            </w:r>
          </w:p>
        </w:tc>
        <w:tc>
          <w:tcPr>
            <w:tcW w:type="dxa" w:w="4320"/>
          </w:tcPr>
          <w:p>
            <w:r>
              <w:t>Opdracht 17.1, nabespreking</w:t>
            </w:r>
          </w:p>
        </w:tc>
      </w:tr>
      <w:tr>
        <w:tc>
          <w:tcPr>
            <w:tcW w:type="dxa" w:w="4320"/>
          </w:tcPr>
          <w:p>
            <w:r>
              <w:t>1:15–1:30</w:t>
            </w:r>
          </w:p>
        </w:tc>
        <w:tc>
          <w:tcPr>
            <w:tcW w:type="dxa" w:w="4320"/>
          </w:tcPr>
          <w:p>
            <w:r>
              <w:t>Pauze</w:t>
            </w:r>
          </w:p>
        </w:tc>
      </w:tr>
      <w:tr>
        <w:tc>
          <w:tcPr>
            <w:tcW w:type="dxa" w:w="4320"/>
          </w:tcPr>
          <w:p>
            <w:r>
              <w:t>1:30–2:15</w:t>
            </w:r>
          </w:p>
        </w:tc>
        <w:tc>
          <w:tcPr>
            <w:tcW w:type="dxa" w:w="4320"/>
          </w:tcPr>
          <w:p>
            <w:r>
              <w:t>Baan A/B: SSO + AuditLog bouwen</w:t>
            </w:r>
          </w:p>
        </w:tc>
      </w:tr>
      <w:tr>
        <w:tc>
          <w:tcPr>
            <w:tcW w:type="dxa" w:w="4320"/>
          </w:tcPr>
          <w:p>
            <w:r>
              <w:t>2:15–2:45</w:t>
            </w:r>
          </w:p>
        </w:tc>
        <w:tc>
          <w:tcPr>
            <w:tcW w:type="dxa" w:w="4320"/>
          </w:tcPr>
          <w:p>
            <w:r>
              <w:t>Reader 17.3–17.5, reflectieopdracht 17.2</w:t>
            </w:r>
          </w:p>
        </w:tc>
      </w:tr>
      <w:tr>
        <w:tc>
          <w:tcPr>
            <w:tcW w:type="dxa" w:w="4320"/>
          </w:tcPr>
          <w:p>
            <w:r>
              <w:t>2:45–3:00</w:t>
            </w:r>
          </w:p>
        </w:tc>
        <w:tc>
          <w:tcPr>
            <w:tcW w:type="dxa" w:w="4320"/>
          </w:tcPr>
          <w:p>
            <w:r>
              <w:t>Vooruitblik deel 18 (asynchroon)</w:t>
            </w:r>
          </w:p>
        </w:tc>
      </w:tr>
    </w:tbl>
    <w:p/>
    <w:p>
      <w:pPr>
        <w:pStyle w:val="Heading2"/>
      </w:pPr>
      <w:r>
        <w:rPr>
          <w:color w:val="14213D"/>
        </w:rPr>
        <w:t>Didactische aandachtspunten</w:t>
      </w:r>
    </w:p>
    <w:p>
      <w:r>
        <w:rPr>
          <w:b/>
        </w:rPr>
        <w:t>Dit deel bouwt direct voort op deel 8 — expliciteer die koppeling meteen bij aanvang, in plaats van beveiliging als nieuw onderwerp te introduceren.</w:t>
      </w:r>
      <w:r>
        <w:t xml:space="preserve"> Deelnemers die deel 8 goed hebben begrepen, zullen het IT Users/IAM-onderscheid hier herkennen in een nieuwe context (SSO); benoem dat verband hardop.</w:t>
      </w:r>
    </w:p>
    <w:p>
      <w:r>
        <w:rPr>
          <w:b/>
        </w:rPr>
        <w:t>Opdracht 17.1c (het "alleen intern gebruikt"-argument) komt vaak terug in de praktijk van deelnemers — behandel het niet als hypothetisch maar als een reëel, veelvoorkomend excuus.</w:t>
      </w:r>
      <w:r>
        <w:t xml:space="preserve"> Vraag door: wie garandeert dat het altijd alleen intern blijft? Wat als het netwerk later toch extern bereikbaar wordt?</w:t>
      </w:r>
    </w:p>
    <w:p>
      <w:r>
        <w:rPr>
          <w:b/>
        </w:rPr>
        <w:t>De AuditLog-oefening is technisch eenvoudig maar conceptueel belangrijk — bewaak dat deelnemers niet alleen de entity bouwen, maar ook nadenken over wélke acties auditwaardig zijn.</w:t>
      </w:r>
      <w:r>
        <w:t xml:space="preserve"> Niet elke actie hoeft gelogd (een simpele paginanavigatie bijvoorbeeld niet), maar elke wijziging aan gevoelige data wél. Laat deelnemers dit onderscheid zelf expliciet maken.</w:t>
      </w:r>
    </w:p>
    <w:p>
      <w:pPr>
        <w:pStyle w:val="Heading2"/>
      </w:pPr>
      <w:r>
        <w:rPr>
          <w:color w:val="14213D"/>
        </w:rPr>
        <w:t>Veelgestelde vragen</w:t>
      </w:r>
    </w:p>
    <w:p>
      <w:r>
        <w:rPr>
          <w:b/>
        </w:rPr>
        <w:t>"Moeten we voor élke actie in de applicatie een auditregel bijhouden?"</w:t>
      </w:r>
    </w:p>
    <w:p>
      <w:r>
        <w:t>Nee — de vuistregel is: wijzigingen aan gevoelige data (statuswijzigingen, toegang tot persoonsgegevens) wel, routinematige leesacties of navigatie niet, tenzij een specifieke compliance-eis dat vereist.</w:t>
      </w:r>
    </w:p>
    <w:p>
      <w:r>
        <w:rPr>
          <w:b/>
        </w:rPr>
        <w:t>"Is SSO in O11 dan minder veilig dan in ODC?"</w:t>
      </w:r>
    </w:p>
    <w:p>
      <w:r>
        <w:t>Nee, nuanceer dit expliciet — het is niet minder veilig, het vraagt alleen meer expliciete configuratie omdat het niet het architecturale uitgangspunt van het platform is, in tegenstelling tot ODC waar het een natuurlijke uitbreiding is van de bestaande IAM-structuur.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