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17 — Beveiliging serieus: OWASP in low-code, SSO, audit, AVG</w:t>
      </w:r>
    </w:p>
    <w:p>
      <w:pPr>
        <w:pStyle w:val="Heading2"/>
      </w:pPr>
      <w:r>
        <w:rPr>
          <w:color w:val="14213D"/>
        </w:rPr>
        <w:t>Niveau 2 · Vakbekwaam · OutSystems (O11 &amp; ODC)</w:t>
      </w:r>
    </w:p>
    <w:p>
      <w:pPr>
        <w:spacing w:before="80" w:after="80"/>
        <w:pBdr>
          <w:bottom w:val="single" w:sz="6" w:color="E9A13B"/>
        </w:pBdr>
      </w:pPr>
    </w:p>
    <w:p>
      <w:pPr>
        <w:pStyle w:val="Heading2"/>
      </w:pPr>
      <w:r>
        <w:rPr>
          <w:color w:val="14213D"/>
        </w:rPr>
        <w:t>17.1 Van basis naar serieus</w:t>
      </w:r>
    </w:p>
    <w:p>
      <w:r>
        <w:t>Deel 8 behandelde rollen, screen-autorisatie en het onderscheid tussen O11's IT Users en ODC's IAM-first-aanpak. Dat blijft de basis. Op landschapsschaal, met een applicatie die persoonsgegevens van deelnemers en werkgevers verwerkt, komt daar een bredere verantwoordelijkheid bij: beveiliging als continu proces, niet als eenmalige configuratie.</w:t>
      </w:r>
    </w:p>
    <w:p>
      <w:pPr>
        <w:spacing w:before="80" w:after="80"/>
        <w:pBdr>
          <w:bottom w:val="single" w:sz="6" w:color="E9A13B"/>
        </w:pBdr>
      </w:pPr>
    </w:p>
    <w:p>
      <w:pPr>
        <w:pStyle w:val="Heading2"/>
      </w:pPr>
      <w:r>
        <w:rPr>
          <w:color w:val="14213D"/>
        </w:rPr>
        <w:t>17.2 OWASP-risico's in een low-code context</w:t>
      </w:r>
    </w:p>
    <w:p>
      <w:r>
        <w:t>De OWASP Top 10 (bekende webapplicatie-risico's zoals injection, broken access control, security misconfiguration) blijft relevant, ook al genereert OutSystems veel van de onderliggende code. Het platform beschermt automatisch tegen een deel van deze risico's — bijvoorbeeld voorkomt de Aggregate (deel 6) SQL-injectie doordat parameters altijd correct worden geëscaped, in tegenstelling tot handmatig samengestelde queries.</w:t>
      </w:r>
    </w:p>
    <w:p>
      <w:r>
        <w:rPr>
          <w:b/>
        </w:rPr>
        <w:t>Wat het platform niet automatisch oplost:</w:t>
      </w:r>
      <w:r>
        <w:t xml:space="preserve"> broken access control (het scherm-versus-datafilter-onderscheid uit deel 8, nu op schaal), en security misconfiguration — bijvoorbeeld een scherm dat per ongeluk geen rolkoppeling heeft, of een REST-endpoint (deel 9) dat abusievelijk publiek toegankelijk is. Voor WGP 2.0 betekent dit: een expliciete beveiligingsreview van elk scherm en elk endpoint, niet het vertrouwen dat het platform dit vanzelf goed doet.</w:t>
      </w:r>
    </w:p>
    <w:p>
      <w:pPr>
        <w:spacing w:before="80" w:after="80"/>
        <w:pBdr>
          <w:bottom w:val="single" w:sz="6" w:color="E9A13B"/>
        </w:pBdr>
      </w:pPr>
    </w:p>
    <w:p>
      <w:pPr>
        <w:pStyle w:val="Heading2"/>
      </w:pPr>
      <w:r>
        <w:rPr>
          <w:color w:val="14213D"/>
        </w:rPr>
        <w:t>17.3 Single Sign-On (SSO)</w:t>
      </w:r>
    </w:p>
    <w:p>
      <w:r>
        <w:t xml:space="preserve">WGP 2.0 moet werkgevers toegang geven zonder dat elke HR-medewerker een apart Meridiaan-account beheert. </w:t>
      </w:r>
      <w:r>
        <w:rPr>
          <w:b/>
        </w:rPr>
        <w:t>SSO</w:t>
      </w:r>
      <w:r>
        <w:t xml:space="preserve"> koppelt de authenticatie aan een externe identity provider (bijvoorbeeld de eigen Azure AD van de werkgever, of een Meridiaan-brede IAM-oplossing), zodat een gebruiker met zijn bestaande bedrijfsaccount inlogt.</w:t>
      </w:r>
    </w:p>
    <w:p>
      <w:r>
        <w:rPr>
          <w:b/>
        </w:rPr>
        <w:t>Spoorsplitsing, voortbouwend op deel 8:</w:t>
      </w:r>
      <w:r>
        <w:t xml:space="preserve"> in </w:t>
      </w:r>
      <w:r>
        <w:rPr>
          <w:b/>
        </w:rPr>
        <w:t>ODC</w:t>
      </w:r>
      <w:r>
        <w:t xml:space="preserve">, met zijn IAM-first-architectuur, is SSO-integratie een natuurlijke uitbreiding van het al bestaande identity-fundament. In </w:t>
      </w:r>
      <w:r>
        <w:rPr>
          <w:b/>
        </w:rPr>
        <w:t>O11</w:t>
      </w:r>
      <w:r>
        <w:t>, met de native IT Users-aanpak als uitgangspunt voor de bestaande satellieten, is SSO een bewuste, aparte configuratiestap (koppeling met een externe identity provider via SAML/OAuth) die niet elke bestaande satelliet al heeft — dit is precies het soort inhaalslag dat in een migratietraject (deel 23) meegewogen moet worden.</w:t>
      </w:r>
    </w:p>
    <w:p>
      <w:pPr>
        <w:spacing w:before="80" w:after="80"/>
        <w:pBdr>
          <w:bottom w:val="single" w:sz="6" w:color="E9A13B"/>
        </w:pBdr>
      </w:pPr>
    </w:p>
    <w:p>
      <w:pPr>
        <w:pStyle w:val="Heading2"/>
      </w:pPr>
      <w:r>
        <w:rPr>
          <w:color w:val="14213D"/>
        </w:rPr>
        <w:t>17.4 Audit: wie deed wat, wanneer</w:t>
      </w:r>
    </w:p>
    <w:p>
      <w:r>
        <w:t xml:space="preserve">Voor een organisatie als Meridiaan, onder toezicht van DNB en AFM (bekend uit de EA-cursus), is </w:t>
      </w:r>
      <w:r>
        <w:rPr>
          <w:b/>
        </w:rPr>
        <w:t>auditability</w:t>
      </w:r>
      <w:r>
        <w:t xml:space="preserve"> geen bijzaak: elke wijziging aan een melding, elke statuswijziging, elke keer dat een beheerder gegevens van een werkgever inziet, moet herleidbaar zijn. Dit implementeer je niet als losse logregel per scherm, maar als een gestructureerd audit-patroon: een aparte </w:t>
      </w:r>
      <w:r>
        <w:rPr>
          <w:rFonts w:ascii="Consolas" w:hAnsi="Consolas"/>
        </w:rPr>
        <w:t>AuditLog</w:t>
      </w:r>
      <w:r>
        <w:t>-entity (in de Core-laag, deel 12) die bij elke relevante schrijfactie automatisch een regel vastlegt — wie, wat, wanneer, en idealiter ook waarom (welke actie het trigger).</w:t>
      </w:r>
    </w:p>
    <w:p>
      <w:pPr>
        <w:spacing w:before="80" w:after="80"/>
        <w:pBdr>
          <w:bottom w:val="single" w:sz="6" w:color="E9A13B"/>
        </w:pBdr>
      </w:pPr>
    </w:p>
    <w:p>
      <w:pPr>
        <w:pStyle w:val="Heading2"/>
      </w:pPr>
      <w:r>
        <w:rPr>
          <w:color w:val="14213D"/>
        </w:rPr>
        <w:t>17.5 AVG: persoonsgegevens bewust behandelen</w:t>
      </w:r>
    </w:p>
    <w:p>
      <w:r>
        <w:t>Verzuimmeldingen en WGP 2.0 verwerken persoonsgegevens (werknemersnamen, verzuimredenen — potentieel bijzondere persoonsgegevens onder de AVG). Dit heeft concrete technische consequenties: toegang tot deze gegevens moet strikt gekoppeld zijn aan een legitiem doel (autorisatie, deel 8), bewaartermijnen moeten technisch afdwingbaar zijn (niet oneindig data vasthouden), en een verzoek tot inzage of verwijdering moet uitvoerbaar zijn zonder de hele applicatie te moeten doorspitten — wat weer teruggrijpt op een goed doordacht datamodel (deel 3, 13).</w:t>
      </w:r>
    </w:p>
    <w:p>
      <w:pPr>
        <w:spacing w:before="80" w:after="80"/>
        <w:pBdr>
          <w:bottom w:val="single" w:sz="6" w:color="E9A13B"/>
        </w:pBdr>
      </w:pPr>
    </w:p>
    <w:p>
      <w:pPr>
        <w:pStyle w:val="Heading2"/>
      </w:pPr>
      <w:r>
        <w:rPr>
          <w:color w:val="14213D"/>
        </w:rPr>
        <w:t>Kernpunten</w:t>
      </w:r>
    </w:p>
    <w:p>
      <w:pPr>
        <w:pStyle w:val="ListBullet"/>
      </w:pPr>
      <w:r>
        <w:t>OutSystems beschermt automatisch tegen een deel van de OWASP-risico's (bijvoorbeeld SQL-injectie via de Aggregate), maar broken access control en misconfiguratie blijven jouw verantwoordelijkheid</w:t>
      </w:r>
    </w:p>
    <w:p>
      <w:pPr>
        <w:pStyle w:val="ListBullet"/>
      </w:pPr>
      <w:r>
        <w:t>SSO is in ODC een natuurlijke uitbreiding van de IAM-first-architectuur; in O11 een aparte, bewuste configuratiestap bovenop IT Users</w:t>
      </w:r>
    </w:p>
    <w:p>
      <w:pPr>
        <w:pStyle w:val="ListBullet"/>
      </w:pPr>
      <w:r>
        <w:t>Audit vraagt een gestructureerd patroon (AuditLog in de Core-laag), niet losse logregels</w:t>
      </w:r>
    </w:p>
    <w:p>
      <w:pPr>
        <w:pStyle w:val="ListBullet"/>
      </w:pPr>
      <w:r>
        <w:t>AVG-naleving heeft concrete technische consequenties voor autorisatie, bewaartermijnen en het datamodel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