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Werkboek Deel 17 — Beveiliging serieus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Opdracht 17.1 — Platform-opgelost of jouw verantwoordelijkheid? (beide banen gezamenlijk)</w:t>
      </w:r>
    </w:p>
    <w:p>
      <w:r>
        <w:rPr>
          <w:b/>
        </w:rPr>
        <w:t>a.</w:t>
      </w:r>
      <w:r>
        <w:t xml:space="preserve"> Een Aggregate met een filter op werkgeversnaam die door een gebruiker wordt ingevoerd — is SQL-injectie hier een risico?</w:t>
      </w:r>
    </w:p>
    <w:p>
      <w:r>
        <w:rPr>
          <w:b/>
        </w:rPr>
        <w:t>b.</w:t>
      </w:r>
      <w:r>
        <w:t xml:space="preserve"> Een nieuw scherm dat per ongeluk geen rolkoppeling heeft gekregen.</w:t>
      </w:r>
    </w:p>
    <w:p>
      <w:r>
        <w:rPr>
          <w:b/>
        </w:rPr>
        <w:t>c.</w:t>
      </w:r>
      <w:r>
        <w:t xml:space="preserve"> Een REST-endpoint dat is geëxposeerd zonder autorisatie-check, omdat "het toch alleen intern gebruikt wordt."</w:t>
      </w:r>
    </w:p>
    <w:p>
      <w:pPr>
        <w:pStyle w:val="Heading3"/>
      </w:pPr>
      <w:r>
        <w:rPr>
          <w:color w:val="2563A8"/>
        </w:rPr>
        <w:t>Uitwerking 17.1</w:t>
      </w:r>
    </w:p>
    <w:p>
      <w:r>
        <w:rPr>
          <w:b/>
        </w:rPr>
        <w:t>a.</w:t>
      </w:r>
      <w:r>
        <w:t xml:space="preserve"> Platform-opgelost — de Aggregate escaped parameters automatisch, SQL-injectie via deze weg is geen reëel risico.</w:t>
      </w:r>
    </w:p>
    <w:p>
      <w:r>
        <w:rPr>
          <w:b/>
        </w:rPr>
        <w:t>b.</w:t>
      </w:r>
      <w:r>
        <w:t xml:space="preserve"> Jouw verantwoordelijkheid — het platform dwingt geen rolkoppeling af tenzij je hem expliciet instelt; een vergeten koppeling blijft een menselijke fout.</w:t>
      </w:r>
    </w:p>
    <w:p>
      <w:r>
        <w:rPr>
          <w:b/>
        </w:rPr>
        <w:t>c.</w:t>
      </w:r>
      <w:r>
        <w:t xml:space="preserve"> Jouw verantwoordelijkheid, en een klassiek voorbeeld van security misconfiguration — "alleen intern gebruikt" is geen beveiligingsmaatregel, autorisatie hoort altijd expliciet ingesteld te worden, ongeacht de verwachte gebruikerskring.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A — OutSystems 11</w:t>
      </w:r>
    </w:p>
    <w:p>
      <w:pPr>
        <w:pStyle w:val="Heading3"/>
      </w:pPr>
      <w:r>
        <w:rPr>
          <w:color w:val="2563A8"/>
        </w:rPr>
        <w:t>Opdracht 17.A — SSO en AuditLog configureren in Service Studio</w:t>
      </w:r>
    </w:p>
    <w:p>
      <w:r>
        <w:t xml:space="preserve">Configureer voor </w:t>
      </w:r>
      <w:r>
        <w:rPr>
          <w:rFonts w:ascii="Consolas" w:hAnsi="Consolas"/>
        </w:rPr>
        <w:t>WGP2O11</w:t>
      </w:r>
      <w:r>
        <w:t xml:space="preserve"> een SSO-koppeling met een (test-)identity provider via SAML/OAuth. Bouw een </w:t>
      </w:r>
      <w:r>
        <w:rPr>
          <w:rFonts w:ascii="Consolas" w:hAnsi="Consolas"/>
        </w:rPr>
        <w:t>AuditLog</w:t>
      </w:r>
      <w:r>
        <w:t xml:space="preserve">-entity in </w:t>
      </w:r>
      <w:r>
        <w:rPr>
          <w:rFonts w:ascii="Consolas" w:hAnsi="Consolas"/>
        </w:rPr>
        <w:t>MeridiaanMutatiesCoreO11</w:t>
      </w:r>
      <w:r>
        <w:t xml:space="preserve"> en breid de statuswijziging-actie uit deel 4/9 uit om bij elke statuswijziging automatisch een auditregel vast te leggen.</w:t>
      </w:r>
    </w:p>
    <w:p>
      <w:pPr>
        <w:pStyle w:val="Heading3"/>
      </w:pPr>
      <w:r>
        <w:rPr>
          <w:color w:val="2563A8"/>
        </w:rPr>
        <w:t>Uitwerking 17.A</w:t>
      </w:r>
    </w:p>
    <w:p>
      <w:r>
        <w:t xml:space="preserve">De SSO-configuratie in O11 vraagt een expliciete koppeling — dit is een aparte, bewuste stap bovenop de bestaande IT Users-structuur, niet een automatisch meegeleverd onderdeel. De </w:t>
      </w:r>
      <w:r>
        <w:rPr>
          <w:rFonts w:ascii="Consolas" w:hAnsi="Consolas"/>
        </w:rPr>
        <w:t>AuditLog</w:t>
      </w:r>
      <w:r>
        <w:t>-entity krijgt minimaal: gebruiker, tijdstip, actie, betrokken entiteit-Id. Test dat een statuswijziging daadwerkelijk een nieuwe auditregel oplevert, en dat een mislukte statuswijziging (bijvoorbeeld door een validatiefout) geen "vals positieve" auditregel achterlaat.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B — OutSystems Developer Cloud</w:t>
      </w:r>
    </w:p>
    <w:p>
      <w:pPr>
        <w:pStyle w:val="Heading3"/>
      </w:pPr>
      <w:r>
        <w:rPr>
          <w:color w:val="2563A8"/>
        </w:rPr>
        <w:t>Opdracht 17.B — SSO en AuditLog in ODC Studio</w:t>
      </w:r>
    </w:p>
    <w:p>
      <w:r>
        <w:t xml:space="preserve">Herhaal Opdracht 17.A in </w:t>
      </w:r>
      <w:r>
        <w:rPr>
          <w:rFonts w:ascii="Consolas" w:hAnsi="Consolas"/>
        </w:rPr>
        <w:t>WGP2ODC</w:t>
      </w:r>
      <w:r>
        <w:t xml:space="preserve"> met </w:t>
      </w:r>
      <w:r>
        <w:rPr>
          <w:rFonts w:ascii="Consolas" w:hAnsi="Consolas"/>
        </w:rPr>
        <w:t>MeridiaanMutatiesCoreODC</w:t>
      </w:r>
      <w:r>
        <w:t>. Vergelijk hoeveel configuratie de SSO-koppeling in ODC vergde ten opzichte van O11.</w:t>
      </w:r>
    </w:p>
    <w:p>
      <w:pPr>
        <w:pStyle w:val="Heading3"/>
      </w:pPr>
      <w:r>
        <w:rPr>
          <w:color w:val="2563A8"/>
        </w:rPr>
        <w:t>Uitwerking 17.B</w:t>
      </w:r>
    </w:p>
    <w:p>
      <w:r>
        <w:t>Omdat ODC IAM-first is ingericht (deel 8), vraagt SSO-koppeling doorgaans minder aanvullende configuratie dan in O11 — de identity-infrastructuur is al aanwezig als uitgangspunt van het platform, in plaats van een losse toevoeging. Dit is een concreet, meetbaar verschil in configuratie-inspanning, direct voortbouwend op het fundamentele verschil dat in deel 8 werd geïntroduceerd.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Reflectieopdracht 17.2 (beide banen gezamenlijk)</w:t>
      </w:r>
    </w:p>
    <w:p>
      <w:r>
        <w:t>Waarom moet een AuditLog-entity in de Core-laag leven in plaats van los per module (bijvoorbeeld een aparte AuditLog voor Verzuimmeldingen en een andere voor WGP 2.0)?</w:t>
      </w:r>
    </w:p>
    <w:p>
      <w:pPr>
        <w:pStyle w:val="Heading3"/>
      </w:pPr>
      <w:r>
        <w:rPr>
          <w:color w:val="2563A8"/>
        </w:rPr>
        <w:t>Uitwerking 17.2</w:t>
      </w:r>
    </w:p>
    <w:p>
      <w:r>
        <w:t xml:space="preserve">Een auditor of toezichthouder (DNB, AFM) die wil reconstrueren wat er met de gegevens van een specifieke werkgever of deelnemer is gebeurd, heeft een compleet, landschapsbreed overzicht nodig — niet losse, per-module fragmenten die apart moeten worden samengevoegd. Eén gedeelde </w:t>
      </w:r>
      <w:r>
        <w:rPr>
          <w:rFonts w:ascii="Consolas" w:hAnsi="Consolas"/>
        </w:rPr>
        <w:t>AuditLog</w:t>
      </w:r>
      <w:r>
        <w:t xml:space="preserve"> in de Core-laag garandeert een consistente structuur en een centraal, doorzoekbaar overzicht over alle modules heen, wat aansluit bij het eigenaarschapsprincipe uit deel 13: gedeelde, kritieke data hoort in een gedeelde, goed beheerde plek, niet gedupliceerd of gefragmenteerd.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