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4213D"/>
        </w:rPr>
        <w:t>Docentenhandleiding Deel 18 — Asynchroon</w:t>
      </w:r>
    </w:p>
    <w:p>
      <w:r>
        <w:rPr>
          <w:b/>
        </w:rPr>
        <w:t>Duur:</w:t>
      </w:r>
      <w:r>
        <w:t xml:space="preserve"> 1 dagdeel (± 3 uur)</w:t>
      </w:r>
    </w:p>
    <w:p>
      <w:r>
        <w:rPr>
          <w:b/>
        </w:rPr>
        <w:t>Vereiste voorkennis:</w:t>
      </w:r>
      <w:r>
        <w:t xml:space="preserve"> Deel 9, deel 11-17</w:t>
      </w:r>
    </w:p>
    <w:p>
      <w:r>
        <w:rPr>
          <w:b/>
        </w:rPr>
        <w:t>Materialen:</w:t>
      </w:r>
      <w:r>
        <w:t xml:space="preserve"> Reader, Werkboek, Slidedeck, Service Studio (met BPT) en ODC Studio-toegang</w:t>
      </w:r>
    </w:p>
    <w:p>
      <w:pPr>
        <w:pStyle w:val="Heading2"/>
      </w:pPr>
      <w:r>
        <w:rPr>
          <w:color w:val="14213D"/>
        </w:rPr>
        <w:t>Lesdoelen</w:t>
      </w:r>
    </w:p>
    <w:p>
      <w:pPr>
        <w:pStyle w:val="ListNumber"/>
      </w:pPr>
      <w:r>
        <w:t>Een BPT-proces bouwen in O11 en de ingebouwde functionaliteit herkennen</w:t>
      </w:r>
    </w:p>
    <w:p>
      <w:pPr>
        <w:pStyle w:val="ListNumber"/>
      </w:pPr>
      <w:r>
        <w:t>Diezelfde functionaliteit als expliciete statusmachine herbouwen in ODC</w:t>
      </w:r>
    </w:p>
    <w:p>
      <w:pPr>
        <w:pStyle w:val="ListNumber"/>
      </w:pPr>
      <w:r>
        <w:t>Idempotentie toepassen als verplicht principe bij elke retry- of batchverwerking</w:t>
      </w:r>
    </w:p>
    <w:p>
      <w:pPr>
        <w:pStyle w:val="Heading2"/>
      </w:pPr>
      <w:r>
        <w:rPr>
          <w:color w:val="14213D"/>
        </w:rPr>
        <w:t>Tijdsindeling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Tijd</w:t>
            </w:r>
          </w:p>
        </w:tc>
        <w:tc>
          <w:tcPr>
            <w:tcW w:type="dxa" w:w="4320"/>
          </w:tcPr>
          <w:p>
            <w:r>
              <w:rPr>
                <w:b/>
              </w:rPr>
              <w:t>Onderdeel</w:t>
            </w:r>
          </w:p>
        </w:tc>
      </w:tr>
      <w:tr>
        <w:tc>
          <w:tcPr>
            <w:tcW w:type="dxa" w:w="4320"/>
          </w:tcPr>
          <w:p>
            <w:r>
              <w:t>0:00–0:15</w:t>
            </w:r>
          </w:p>
        </w:tc>
        <w:tc>
          <w:tcPr>
            <w:tcW w:type="dxa" w:w="4320"/>
          </w:tcPr>
          <w:p>
            <w:r>
              <w:t>Terugblik deel 9, intro asynchrone verwerking op schaal</w:t>
            </w:r>
          </w:p>
        </w:tc>
      </w:tr>
      <w:tr>
        <w:tc>
          <w:tcPr>
            <w:tcW w:type="dxa" w:w="4320"/>
          </w:tcPr>
          <w:p>
            <w:r>
              <w:t>0:15–0:45</w:t>
            </w:r>
          </w:p>
        </w:tc>
        <w:tc>
          <w:tcPr>
            <w:tcW w:type="dxa" w:w="4320"/>
          </w:tcPr>
          <w:p>
            <w:r>
              <w:t>Reader 18.1–18.2, BPT uitleggen, aankondigen dat dit hét grote verschil van niveau 2 is</w:t>
            </w:r>
          </w:p>
        </w:tc>
      </w:tr>
      <w:tr>
        <w:tc>
          <w:tcPr>
            <w:tcW w:type="dxa" w:w="4320"/>
          </w:tcPr>
          <w:p>
            <w:r>
              <w:t>0:45–1:15</w:t>
            </w:r>
          </w:p>
        </w:tc>
        <w:tc>
          <w:tcPr>
            <w:tcW w:type="dxa" w:w="4320"/>
          </w:tcPr>
          <w:p>
            <w:r>
              <w:t>Opdracht 18.1, nabespreking</w:t>
            </w:r>
          </w:p>
        </w:tc>
      </w:tr>
      <w:tr>
        <w:tc>
          <w:tcPr>
            <w:tcW w:type="dxa" w:w="4320"/>
          </w:tcPr>
          <w:p>
            <w:r>
              <w:t>1:15–1:30</w:t>
            </w:r>
          </w:p>
        </w:tc>
        <w:tc>
          <w:tcPr>
            <w:tcW w:type="dxa" w:w="4320"/>
          </w:tcPr>
          <w:p>
            <w:r>
              <w:t>Pauze</w:t>
            </w:r>
          </w:p>
        </w:tc>
      </w:tr>
      <w:tr>
        <w:tc>
          <w:tcPr>
            <w:tcW w:type="dxa" w:w="4320"/>
          </w:tcPr>
          <w:p>
            <w:r>
              <w:t>1:30–2:15</w:t>
            </w:r>
          </w:p>
        </w:tc>
        <w:tc>
          <w:tcPr>
            <w:tcW w:type="dxa" w:w="4320"/>
          </w:tcPr>
          <w:p>
            <w:r>
              <w:t>Baan A/B: BPT bouwen (A) / statusmachine bouwen (B)</w:t>
            </w:r>
          </w:p>
        </w:tc>
      </w:tr>
      <w:tr>
        <w:tc>
          <w:tcPr>
            <w:tcW w:type="dxa" w:w="4320"/>
          </w:tcPr>
          <w:p>
            <w:r>
              <w:t>2:15–2:45</w:t>
            </w:r>
          </w:p>
        </w:tc>
        <w:tc>
          <w:tcPr>
            <w:tcW w:type="dxa" w:w="4320"/>
          </w:tcPr>
          <w:p>
            <w:r>
              <w:t>Reader 18.3–18.4, reflectieopdracht 18.2</w:t>
            </w:r>
          </w:p>
        </w:tc>
      </w:tr>
      <w:tr>
        <w:tc>
          <w:tcPr>
            <w:tcW w:type="dxa" w:w="4320"/>
          </w:tcPr>
          <w:p>
            <w:r>
              <w:t>2:45–3:00</w:t>
            </w:r>
          </w:p>
        </w:tc>
        <w:tc>
          <w:tcPr>
            <w:tcW w:type="dxa" w:w="4320"/>
          </w:tcPr>
          <w:p>
            <w:r>
              <w:t>Vooruitblik deel 19 (lifecycle en DevOps, 2 dagdelen)</w:t>
            </w:r>
          </w:p>
        </w:tc>
      </w:tr>
    </w:tbl>
    <w:p/>
    <w:p>
      <w:pPr>
        <w:pStyle w:val="Heading2"/>
      </w:pPr>
      <w:r>
        <w:rPr>
          <w:color w:val="14213D"/>
        </w:rPr>
        <w:t>Didactische aandachtspunten</w:t>
      </w:r>
    </w:p>
    <w:p>
      <w:r>
        <w:rPr>
          <w:b/>
        </w:rPr>
        <w:t>Dit is het meest wezenlijke O11↔ODC-verschil van heel niveau 2 — behandel het met overeenkomstig meer nadruk en tijd dan de voorgaande delen.</w:t>
      </w:r>
      <w:r>
        <w:t xml:space="preserve"> Waar deel 8 en 16 al platformverschillen lieten zien, is dit de eerste keer dat het verschil niet "andere tooling voor hetzelfde" is, maar "een heel mechanisme bestaat simpelweg niet." Laat deelnemers dit zelf ervaren door Baan B daadwerkelijk het handwerk te laten doen dat BPT in Baan A automatisch geeft.</w:t>
      </w:r>
    </w:p>
    <w:p>
      <w:r>
        <w:rPr>
          <w:b/>
        </w:rPr>
        <w:t>Overweeg, indien de groep het toelaat, dat iedereen zowel Baan A als Baan B doorloopt in plaats van te splitsen — dit deel is een van de weinige waar het contrast zelf het leerdoel is.</w:t>
      </w:r>
      <w:r>
        <w:t xml:space="preserve"> Als tijd een probleem is, laat dan minstens de groepen na afloop grondig van elkaar leren wat ze precies moesten bouwen.</w:t>
      </w:r>
    </w:p>
    <w:p>
      <w:r>
        <w:rPr>
          <w:b/>
        </w:rPr>
        <w:t>Reflectieopdracht 18.2 is het scharnierpunt tussen niveau 2 en niveau 3 — bewaar hier voldoende tijd voor.</w:t>
      </w:r>
      <w:r>
        <w:t xml:space="preserve"> Dit is het eerste moment waarop de cursus expliciet een concrete, zware consequentie voor een toekomstig migratietraject benoemt. Zorg dat deelnemers dit niet als een terzijde ervaren, maar als een cruciaal gegeven voor deel 23.</w:t>
      </w:r>
    </w:p>
    <w:p>
      <w:pPr>
        <w:pStyle w:val="Heading2"/>
      </w:pPr>
      <w:r>
        <w:rPr>
          <w:color w:val="14213D"/>
        </w:rPr>
        <w:t>Veelgestelde vragen</w:t>
      </w:r>
    </w:p>
    <w:p>
      <w:r>
        <w:rPr>
          <w:b/>
        </w:rPr>
        <w:t>"Kunnen we een BPT-proces automatisch laten converteren naar een ODC-statusmachine?"</w:t>
      </w:r>
    </w:p>
    <w:p>
      <w:r>
        <w:t>Nee, niet automatisch — er bestaat geen conversietool die dit doet, omdat het conceptuele verschil te fundamenteel is. Dit moet handmatig herontworpen worden, wat precies de reden is waarom dit een zwaar migratie-gegeven is.</w:t>
      </w:r>
    </w:p>
    <w:p>
      <w:r>
        <w:rPr>
          <w:b/>
        </w:rPr>
        <w:t>"Is een handgebouwde statusmachine in ODC dan slechter dan BPT?"</w:t>
      </w:r>
    </w:p>
    <w:p>
      <w:r>
        <w:t>Niet per se — nuanceer: een statusmachine is explicieter en flexibeler te ontwerpen naar eigen wens, terwijl BPT sneller is voor standaardpatronen. Het is een trade-off, geen kwaliteitsverschil.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