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Deel 18 — Asynchroon: processen, batch, idempotentie</w:t>
      </w:r>
    </w:p>
    <w:p>
      <w:pPr>
        <w:pStyle w:val="Heading2"/>
      </w:pPr>
      <w:r>
        <w:rPr>
          <w:color w:val="14213D"/>
        </w:rPr>
        <w:t>Niveau 2 · Vakbekwaam · OutSystems (O11 &amp; ODC)</w:t>
      </w:r>
    </w:p>
    <w:p>
      <w:pPr>
        <w:spacing w:before="80" w:after="80"/>
        <w:pBdr>
          <w:bottom w:val="single" w:sz="6" w:color="E9A13B"/>
        </w:pBdr>
      </w:pPr>
    </w:p>
    <w:p>
      <w:pPr>
        <w:pStyle w:val="Heading2"/>
      </w:pPr>
      <w:r>
        <w:rPr>
          <w:color w:val="14213D"/>
        </w:rPr>
        <w:t>18.1 Van "nog te verwerken" naar een volwaardig patroon</w:t>
      </w:r>
    </w:p>
    <w:p>
      <w:r>
        <w:t xml:space="preserve">Deel 9 introduceerde een eenvoudig statusveld ("nog te verwerken") voor mislukte Mutatie-API-aanroepen. Op landschapsschaal, met meerdere integraties en processen die niet direct hoeven te reageren op gebruikersinteractie, heb je een volwassener patroon nodig voor </w:t>
      </w:r>
      <w:r>
        <w:rPr>
          <w:b/>
        </w:rPr>
        <w:t>asynchrone verwerking</w:t>
      </w:r>
      <w:r>
        <w:t>: werk dat op de achtergrond gebeurt, losgekoppeld van het moment waarop een gebruiker een actie uitvoert.</w:t>
      </w:r>
    </w:p>
    <w:p>
      <w:pPr>
        <w:spacing w:before="80" w:after="80"/>
        <w:pBdr>
          <w:bottom w:val="single" w:sz="6" w:color="E9A13B"/>
        </w:pBdr>
      </w:pPr>
    </w:p>
    <w:p>
      <w:pPr>
        <w:pStyle w:val="Heading2"/>
      </w:pPr>
      <w:r>
        <w:rPr>
          <w:color w:val="14213D"/>
        </w:rPr>
        <w:t>18.2 Business Process Technology (BPT) — en waarom dit deel een spoorsplitsing kent die verdergaat dan tooling</w:t>
      </w:r>
    </w:p>
    <w:p>
      <w:r>
        <w:t xml:space="preserve">O11 kent </w:t>
      </w:r>
      <w:r>
        <w:rPr>
          <w:b/>
        </w:rPr>
        <w:t>BPT (Business Process Technology)</w:t>
      </w:r>
      <w:r>
        <w:t>: een ingebouwd mechanisme voor het modelleren van langlopende, mensen-in-de-lus processen — een melding die eerst door een medewerker wordt beoordeeld, dan door een tweede persoon wordt goedgekeurd, met wachttijden en escalaties ertussen. Voor sommige van Meridiaan's oudere satellieten is dit hoe goedkeuringsflows zijn gebouwd.</w:t>
      </w:r>
    </w:p>
    <w:p>
      <w:r>
        <w:rPr>
          <w:b/>
        </w:rPr>
        <w:t>BPT bestaat niet in ODC.</w:t>
      </w:r>
      <w:r>
        <w:t xml:space="preserve"> Dit is niet een kwestie van "nog niet geïmplementeerd" — het is een bewuste architecturale keuze van OutSystems: ODC benadert langlopende, mensen-in-de-lus processen anders, via een combinatie van reguliere entities (een statusveld, zoals je zelf al bouwde in deel 9), Timers, en expliciete server actions die de statusovergangen beheren — in feite een lichtgewicht, zelfgebouwde state machine in plaats van een ingebouwd BPT-framework.</w:t>
      </w:r>
    </w:p>
    <w:p>
      <w:r>
        <w:t xml:space="preserve">Voor Meridiaan heeft dit een concrete consequentie: een bestaand BPT-proces in een O11-satelliet kan niet één-op-één naar ODC gemigreerd worden. Het moet </w:t>
      </w:r>
      <w:r>
        <w:rPr>
          <w:b/>
        </w:rPr>
        <w:t>herontworpen</w:t>
      </w:r>
      <w:r>
        <w:t xml:space="preserve"> worden als een expliciete statusmachine — een fundamenteel andere aanpak, niet een kwestie van hetzelfde concept in andere tooling uitdrukken. Dit is een van de zwaarste concrete gevolgen die in de migratiemodule (deel 23) uitgebreid wordt uitgewerkt.</w:t>
      </w:r>
    </w:p>
    <w:p>
      <w:pPr>
        <w:spacing w:before="80" w:after="80"/>
        <w:pBdr>
          <w:bottom w:val="single" w:sz="6" w:color="E9A13B"/>
        </w:pBdr>
      </w:pPr>
    </w:p>
    <w:p>
      <w:pPr>
        <w:pStyle w:val="Heading2"/>
      </w:pPr>
      <w:r>
        <w:rPr>
          <w:color w:val="14213D"/>
        </w:rPr>
        <w:t>18.3 Batch-verwerking</w:t>
      </w:r>
    </w:p>
    <w:p>
      <w:r>
        <w:t xml:space="preserve">Naast losse achtergrondtaken (Timers, deel 9) heb je soms </w:t>
      </w:r>
      <w:r>
        <w:rPr>
          <w:b/>
        </w:rPr>
        <w:t>batch-verwerking</w:t>
      </w:r>
      <w:r>
        <w:t xml:space="preserve"> nodig: een taak die een grote hoeveelheid records in één keer, gecontroleerd verwerkt — bijvoorbeeld het nachtelijk opnieuw proberen van alle "nog te verwerken"-mutaties in één keer, in plaats van los per record. Beide platformen ondersteunen dit via Timer-gestuurde bulkverwerking, met aandacht voor paginering (deel 6) om te voorkomen dat een enkele batch-run de hele database blokkeert.</w:t>
      </w:r>
    </w:p>
    <w:p>
      <w:pPr>
        <w:spacing w:before="80" w:after="80"/>
        <w:pBdr>
          <w:bottom w:val="single" w:sz="6" w:color="E9A13B"/>
        </w:pBdr>
      </w:pPr>
    </w:p>
    <w:p>
      <w:pPr>
        <w:pStyle w:val="Heading2"/>
      </w:pPr>
      <w:r>
        <w:rPr>
          <w:color w:val="14213D"/>
        </w:rPr>
        <w:t>18.4 Idempotentie: veilig herhalen</w:t>
      </w:r>
    </w:p>
    <w:p>
      <w:r>
        <w:t xml:space="preserve">Een cruciaal principe bij elke vorm van retry (deel 16) of batchverwerking: de actie moet </w:t>
      </w:r>
      <w:r>
        <w:rPr>
          <w:b/>
        </w:rPr>
        <w:t>idempotent</w:t>
      </w:r>
      <w:r>
        <w:t xml:space="preserve"> zijn — het meerdere keren uitvoeren van dezelfde actie met dezelfde input mag niet tot een ander of dubbel resultaat leiden dan één keer uitvoeren. Voor de Mutatie-API-aanroep uit deel 9: als een retry na een netwerktimeout de mutatie alsnog had laten slagen (maar de bevestiging niet aankwam), mag een herhaalde aanroep niet resulteren in een dubbele mutatie bij het Mutatieplatform.</w:t>
      </w:r>
    </w:p>
    <w:p>
      <w:r>
        <w:t xml:space="preserve">De praktische oplossing: elke aanroep krijgt een unieke identifier (bijvoorbeeld het </w:t>
      </w:r>
      <w:r>
        <w:rPr>
          <w:rFonts w:ascii="Consolas" w:hAnsi="Consolas"/>
        </w:rPr>
        <w:t>MeldingId</w:t>
      </w:r>
      <w:r>
        <w:t xml:space="preserve"> gecombineerd met een versienummer), en de ontvangende kant (het Mutatieplatform, zie de API-cursus) controleert of die identifier al eerder is verwerkt voordat de actie daadwerkelijk wordt uitgevoerd.</w:t>
      </w:r>
    </w:p>
    <w:p>
      <w:pPr>
        <w:spacing w:before="80" w:after="80"/>
        <w:pBdr>
          <w:bottom w:val="single" w:sz="6" w:color="E9A13B"/>
        </w:pBdr>
      </w:pPr>
    </w:p>
    <w:p>
      <w:pPr>
        <w:pStyle w:val="Heading2"/>
      </w:pPr>
      <w:r>
        <w:rPr>
          <w:color w:val="14213D"/>
        </w:rPr>
        <w:t>Kernpunten</w:t>
      </w:r>
    </w:p>
    <w:p>
      <w:pPr>
        <w:pStyle w:val="ListBullet"/>
      </w:pPr>
      <w:r>
        <w:t>Asynchrone verwerking gaat verder dan een simpel statusveld: gestructureerde patronen voor achtergrondwerk, batch en retries</w:t>
      </w:r>
    </w:p>
    <w:p>
      <w:pPr>
        <w:pStyle w:val="ListBullet"/>
      </w:pPr>
      <w:r>
        <w:t>BPT bestaat alleen in O11; ODC vraagt een zelfgebouwde statusmachine — een fundamenteel, niet triviaal migratieverschil</w:t>
      </w:r>
    </w:p>
    <w:p>
      <w:pPr>
        <w:pStyle w:val="ListBullet"/>
      </w:pPr>
      <w:r>
        <w:t>Batch-verwerking vraagt dezelfde pagineringsdiscipline als reguliere queries (deel 6)</w:t>
      </w:r>
    </w:p>
    <w:p>
      <w:pPr>
        <w:pStyle w:val="ListBullet"/>
      </w:pPr>
      <w:r>
        <w:t>Idempotentie is verplicht bij elke retry-strategie: herhaling mag nooit tot een dubbel of afwijkend resultaat leiden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