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4213D"/>
        </w:rPr>
        <w:t>Docentenhandleiding Deel 19 — Lifecycle en DevOps (2 dagdelen)</w:t>
      </w:r>
    </w:p>
    <w:p>
      <w:r>
        <w:rPr>
          <w:b/>
        </w:rPr>
        <w:t>Duur:</w:t>
      </w:r>
      <w:r>
        <w:t xml:space="preserve"> 2 dagdelen (± 6 uur totaal)</w:t>
      </w:r>
    </w:p>
    <w:p>
      <w:r>
        <w:rPr>
          <w:b/>
        </w:rPr>
        <w:t>Vereiste voorkennis:</w:t>
      </w:r>
      <w:r>
        <w:t xml:space="preserve"> Deel 2, deel 11-18</w:t>
      </w:r>
    </w:p>
    <w:p>
      <w:r>
        <w:rPr>
          <w:b/>
        </w:rPr>
        <w:t>Materialen:</w:t>
      </w:r>
      <w:r>
        <w:t xml:space="preserve"> Reader, Werkboek, Slidedeck, LifeTime- en ODC Portal-toegang</w:t>
      </w:r>
    </w:p>
    <w:p>
      <w:pPr>
        <w:pStyle w:val="Heading2"/>
      </w:pPr>
      <w:r>
        <w:rPr>
          <w:color w:val="14213D"/>
        </w:rPr>
        <w:t>Lesdoelen</w:t>
      </w:r>
    </w:p>
    <w:p>
      <w:pPr>
        <w:pStyle w:val="ListNumber"/>
      </w:pPr>
      <w:r>
        <w:t>Een promotieflow inrichten met expliciete goedkeuring, in beide platformen</w:t>
      </w:r>
    </w:p>
    <w:p>
      <w:pPr>
        <w:pStyle w:val="ListNumber"/>
      </w:pPr>
      <w:r>
        <w:t>De rol van gecontroleerde uitrol op landschapsschaal toepassen</w:t>
      </w:r>
    </w:p>
    <w:p>
      <w:pPr>
        <w:pStyle w:val="ListNumber"/>
      </w:pPr>
      <w:r>
        <w:t>Rollback correct uitvoeren en de complicatie bij datamodel-wijzigingen begrijpen</w:t>
      </w:r>
    </w:p>
    <w:p>
      <w:pPr>
        <w:pStyle w:val="ListNumber"/>
      </w:pPr>
      <w:r>
        <w:t>Het automatiseringsverschil tussen LifeTime en ODC-pipelines duiden</w:t>
      </w:r>
    </w:p>
    <w:p>
      <w:pPr>
        <w:pStyle w:val="Heading2"/>
      </w:pPr>
      <w:r>
        <w:rPr>
          <w:color w:val="14213D"/>
        </w:rPr>
        <w:t>Tijdsindeling Dagdeel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Tijd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Onderdeel</w:t>
            </w:r>
          </w:p>
        </w:tc>
      </w:tr>
      <w:tr>
        <w:tc>
          <w:tcPr>
            <w:tcW w:type="dxa" w:w="4320"/>
          </w:tcPr>
          <w:p>
            <w:r>
              <w:t>0:00–0:20</w:t>
            </w:r>
          </w:p>
        </w:tc>
        <w:tc>
          <w:tcPr>
            <w:tcW w:type="dxa" w:w="4320"/>
          </w:tcPr>
          <w:p>
            <w:r>
              <w:t>Terugblik deel 2 en 11-18, intro lifecycle op schaal, aankondiging tweedaags karakter</w:t>
            </w:r>
          </w:p>
        </w:tc>
      </w:tr>
      <w:tr>
        <w:tc>
          <w:tcPr>
            <w:tcW w:type="dxa" w:w="4320"/>
          </w:tcPr>
          <w:p>
            <w:r>
              <w:t>0:20–0:50</w:t>
            </w:r>
          </w:p>
        </w:tc>
        <w:tc>
          <w:tcPr>
            <w:tcW w:type="dxa" w:w="4320"/>
          </w:tcPr>
          <w:p>
            <w:r>
              <w:t>Reader 19.1–19.3, discussie automatiseringsverschil</w:t>
            </w:r>
          </w:p>
        </w:tc>
      </w:tr>
      <w:tr>
        <w:tc>
          <w:tcPr>
            <w:tcW w:type="dxa" w:w="4320"/>
          </w:tcPr>
          <w:p>
            <w:r>
              <w:t>0:50–1:15</w:t>
            </w:r>
          </w:p>
        </w:tc>
        <w:tc>
          <w:tcPr>
            <w:tcW w:type="dxa" w:w="4320"/>
          </w:tcPr>
          <w:p>
            <w:r>
              <w:t>Opdracht 19.1, nabespreking</w:t>
            </w:r>
          </w:p>
        </w:tc>
      </w:tr>
      <w:tr>
        <w:tc>
          <w:tcPr>
            <w:tcW w:type="dxa" w:w="4320"/>
          </w:tcPr>
          <w:p>
            <w:r>
              <w:t>1:15–1:30</w:t>
            </w:r>
          </w:p>
        </w:tc>
        <w:tc>
          <w:tcPr>
            <w:tcW w:type="dxa" w:w="4320"/>
          </w:tcPr>
          <w:p>
            <w:r>
              <w:t>Pauze</w:t>
            </w:r>
          </w:p>
        </w:tc>
      </w:tr>
      <w:tr>
        <w:tc>
          <w:tcPr>
            <w:tcW w:type="dxa" w:w="4320"/>
          </w:tcPr>
          <w:p>
            <w:r>
              <w:t>1:30–2:30</w:t>
            </w:r>
          </w:p>
        </w:tc>
        <w:tc>
          <w:tcPr>
            <w:tcW w:type="dxa" w:w="4320"/>
          </w:tcPr>
          <w:p>
            <w:r>
              <w:t>Baan A/B: promotieflow inrichten</w:t>
            </w:r>
          </w:p>
        </w:tc>
      </w:tr>
      <w:tr>
        <w:tc>
          <w:tcPr>
            <w:tcW w:type="dxa" w:w="4320"/>
          </w:tcPr>
          <w:p>
            <w:r>
              <w:t>2:30–3:00</w:t>
            </w:r>
          </w:p>
        </w:tc>
        <w:tc>
          <w:tcPr>
            <w:tcW w:type="dxa" w:w="4320"/>
          </w:tcPr>
          <w:p>
            <w:r>
              <w:t>Vooruitblik dagdeel B</w:t>
            </w:r>
          </w:p>
        </w:tc>
      </w:tr>
    </w:tbl>
    <w:p/>
    <w:p>
      <w:pPr>
        <w:pStyle w:val="Heading2"/>
      </w:pPr>
      <w:r>
        <w:rPr>
          <w:color w:val="14213D"/>
        </w:rPr>
        <w:t>Tijdsindeling Dagdeel 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Tijd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Onderdeel</w:t>
            </w:r>
          </w:p>
        </w:tc>
      </w:tr>
      <w:tr>
        <w:tc>
          <w:tcPr>
            <w:tcW w:type="dxa" w:w="4320"/>
          </w:tcPr>
          <w:p>
            <w:r>
              <w:t>0:00–0:15</w:t>
            </w:r>
          </w:p>
        </w:tc>
        <w:tc>
          <w:tcPr>
            <w:tcW w:type="dxa" w:w="4320"/>
          </w:tcPr>
          <w:p>
            <w:r>
              <w:t>Terugblik dagdeel A</w:t>
            </w:r>
          </w:p>
        </w:tc>
      </w:tr>
      <w:tr>
        <w:tc>
          <w:tcPr>
            <w:tcW w:type="dxa" w:w="4320"/>
          </w:tcPr>
          <w:p>
            <w:r>
              <w:t>0:15–0:45</w:t>
            </w:r>
          </w:p>
        </w:tc>
        <w:tc>
          <w:tcPr>
            <w:tcW w:type="dxa" w:w="4320"/>
          </w:tcPr>
          <w:p>
            <w:r>
              <w:t>Reader 19.4, opdracht 19.2 (rollback-scenario), nabespreking</w:t>
            </w:r>
          </w:p>
        </w:tc>
      </w:tr>
      <w:tr>
        <w:tc>
          <w:tcPr>
            <w:tcW w:type="dxa" w:w="4320"/>
          </w:tcPr>
          <w:p>
            <w:r>
              <w:t>0:45–1:15</w:t>
            </w:r>
          </w:p>
        </w:tc>
        <w:tc>
          <w:tcPr>
            <w:tcW w:type="dxa" w:w="4320"/>
          </w:tcPr>
          <w:p>
            <w:r>
              <w:t>Pauze (vervroegd i.v.m. samenhang van de rollback-oefening)</w:t>
            </w:r>
          </w:p>
        </w:tc>
      </w:tr>
      <w:tr>
        <w:tc>
          <w:tcPr>
            <w:tcW w:type="dxa" w:w="4320"/>
          </w:tcPr>
          <w:p>
            <w:r>
              <w:t>1:15–2:15</w:t>
            </w:r>
          </w:p>
        </w:tc>
        <w:tc>
          <w:tcPr>
            <w:tcW w:type="dxa" w:w="4320"/>
          </w:tcPr>
          <w:p>
            <w:r>
              <w:t>Baan A/B: rollback uitvoeren</w:t>
            </w:r>
          </w:p>
        </w:tc>
      </w:tr>
      <w:tr>
        <w:tc>
          <w:tcPr>
            <w:tcW w:type="dxa" w:w="4320"/>
          </w:tcPr>
          <w:p>
            <w:r>
              <w:t>2:15–2:45</w:t>
            </w:r>
          </w:p>
        </w:tc>
        <w:tc>
          <w:tcPr>
            <w:tcW w:type="dxa" w:w="4320"/>
          </w:tcPr>
          <w:p>
            <w:r>
              <w:t>Reader 19.5, reflectieopdracht 19.3</w:t>
            </w:r>
          </w:p>
        </w:tc>
      </w:tr>
      <w:tr>
        <w:tc>
          <w:tcPr>
            <w:tcW w:type="dxa" w:w="4320"/>
          </w:tcPr>
          <w:p>
            <w:r>
              <w:t>2:45–3:00</w:t>
            </w:r>
          </w:p>
        </w:tc>
        <w:tc>
          <w:tcPr>
            <w:tcW w:type="dxa" w:w="4320"/>
          </w:tcPr>
          <w:p>
            <w:r>
              <w:t>Vooruitblik deel 20 (technische schuld)</w:t>
            </w:r>
          </w:p>
        </w:tc>
      </w:tr>
    </w:tbl>
    <w:p/>
    <w:p>
      <w:pPr>
        <w:pStyle w:val="Heading2"/>
      </w:pPr>
      <w:r>
        <w:rPr>
          <w:color w:val="14213D"/>
        </w:rPr>
        <w:t>Didactische aandachtspunten</w:t>
      </w:r>
    </w:p>
    <w:p>
      <w:r>
        <w:rPr>
          <w:b/>
        </w:rPr>
        <w:t>Opdracht 19.2 (rollback-scenario met al-verwerkte data) is het belangrijkste inzicht van dagdeel B — laat deelnemers eerst zelf worstelen met de complicatie voordat je de uitwerking deelt.</w:t>
      </w:r>
      <w:r>
        <w:t xml:space="preserve"> Veel deelnemers denken aanvankelijk dat rollback een volledige "undo" is; het corrigeren van die aanname is waardevoller dan de rollback-mechaniek zelf.</w:t>
      </w:r>
    </w:p>
    <w:p>
      <w:r>
        <w:rPr>
          <w:b/>
        </w:rPr>
        <w:t>Benadruk in Opdracht 19.C/D expliciet: rollback is geen aparte undo-functie, maar het opnieuw promoveren van een oudere versie.</w:t>
      </w:r>
      <w:r>
        <w:t xml:space="preserve"> Dit conceptuele punt wordt makkelijk gemist als je alleen de knoppen laat zien zonder het onderliggende mechanisme te benoemen.</w:t>
      </w:r>
    </w:p>
    <w:p>
      <w:r>
        <w:rPr>
          <w:b/>
        </w:rPr>
        <w:t>De koppeling met deel 15 (gecontroleerde uitrol van het design system) moet expliciet worden gemaakt in reflectieopdracht 19.3 — dit is een herhaling op grotere schaal, geen nieuw concept.</w:t>
      </w:r>
      <w:r>
        <w:t xml:space="preserve"> Deelnemers die deel 15 goed hebben begrepen, zouden dit deel als bevestiging moeten ervaren, niet als compleet nieuwe stof.</w:t>
      </w:r>
    </w:p>
    <w:p>
      <w:pPr>
        <w:pStyle w:val="Heading2"/>
      </w:pPr>
      <w:r>
        <w:rPr>
          <w:color w:val="14213D"/>
        </w:rPr>
        <w:t>Veelgestelde vragen</w:t>
      </w:r>
    </w:p>
    <w:p>
      <w:r>
        <w:rPr>
          <w:b/>
        </w:rPr>
        <w:t>"Kunnen we LifeTime-achtige governance ook in ODC afdwingen, of is het daar per definitie losser?"</w:t>
      </w:r>
    </w:p>
    <w:p>
      <w:r>
        <w:t>Nee, niet losser — de Portal biedt vergelijkbare governance-mogelijkheden (goedkeurmomenten, rolgebaseerde rechten), alleen geïntegreerder. Verwijs voor exacte configuratiemogelijkheden naar de Toolbijlagen.</w:t>
      </w:r>
    </w:p>
    <w:p>
      <w:r>
        <w:rPr>
          <w:b/>
        </w:rPr>
        <w:t>"Wat als een rollback zelf ook een datamodel-wijziging bevat — kan dat sneeuwbaleffect geven?"</w:t>
      </w:r>
    </w:p>
    <w:p>
      <w:r>
        <w:t>Een reëel risico, en precies waarom datamodel-wijzigingen extra voorzichtigheid vragen bij zowel deployment als rollback. Dit onderwerp wordt in niveau 3 (bij portfoliobrede migratievraagstukken) verder uitgediept.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