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Deel 19 — Lifecycle en DevOps: stages, pipelines, rollback</w:t>
      </w:r>
    </w:p>
    <w:p>
      <w:pPr>
        <w:pStyle w:val="Heading2"/>
      </w:pPr>
      <w:r>
        <w:rPr>
          <w:color w:val="14213D"/>
        </w:rPr>
        <w:t>Niveau 2 · Vakbekwaam · OutSystems (O11 &amp; ODC) — Twee dagdelen</w:t>
      </w:r>
    </w:p>
    <w:p>
      <w:pPr>
        <w:spacing w:before="80" w:after="80"/>
        <w:pBdr>
          <w:bottom w:val="single" w:sz="6" w:color="E9A13B"/>
        </w:pBdr>
      </w:pPr>
    </w:p>
    <w:p>
      <w:pPr>
        <w:pStyle w:val="Heading2"/>
      </w:pPr>
      <w:r>
        <w:rPr>
          <w:color w:val="14213D"/>
        </w:rPr>
        <w:t>Dagdeel A — Stages en pipelines</w:t>
      </w:r>
    </w:p>
    <w:p>
      <w:pPr>
        <w:pStyle w:val="Heading3"/>
      </w:pPr>
      <w:r>
        <w:rPr>
          <w:color w:val="2563A8"/>
        </w:rPr>
        <w:t>19.1 Terug naar deel 2, nu op landschapsschaal</w:t>
      </w:r>
    </w:p>
    <w:p>
      <w:r>
        <w:t>Deel 2 introduceerde LifeTime en de ODC Portal als beheerlagen. Op landschapsschaal, met vijftien modules die onafhankelijk van elkaar moeten kunnen deployen zonder elkaar te breken, wordt lifecycle-beheer een vak op zich.</w:t>
      </w:r>
    </w:p>
    <w:p>
      <w:pPr>
        <w:pStyle w:val="Heading3"/>
      </w:pPr>
      <w:r>
        <w:rPr>
          <w:color w:val="2563A8"/>
        </w:rPr>
        <w:t>19.2 O11: LifeTime als centrale regisseur</w:t>
      </w:r>
    </w:p>
    <w:p>
      <w:r>
        <w:t xml:space="preserve">In O11 promoveer je een module expliciet van Development naar Test naar Acceptance naar Production via LifeTime, met per stap een handmatige of geautomatiseerde goedkeuring. Voor een landschap van vijftien modules betekent dit dat LifeTime het centrale overzicht biedt van welke versie van welke module waar draait — essentieel om te voorkomen dat WGP 2.0 in productie tegen een verouderde versie van </w:t>
      </w:r>
      <w:r>
        <w:rPr>
          <w:rFonts w:ascii="Consolas" w:hAnsi="Consolas"/>
        </w:rPr>
        <w:t>MeridiaanMutatiesCore</w:t>
      </w:r>
      <w:r>
        <w:t xml:space="preserve"> praat terwijl Test al de nieuwe versie heeft.</w:t>
      </w:r>
    </w:p>
    <w:p>
      <w:pPr>
        <w:pStyle w:val="Heading3"/>
      </w:pPr>
      <w:r>
        <w:rPr>
          <w:color w:val="2563A8"/>
        </w:rPr>
        <w:t>19.3 ODC: pipelines als cloud-native aanpak</w:t>
      </w:r>
    </w:p>
    <w:p>
      <w:r>
        <w:t xml:space="preserve">ODC benadert hetzelfde probleem met </w:t>
      </w:r>
      <w:r>
        <w:rPr>
          <w:b/>
        </w:rPr>
        <w:t>pipelines</w:t>
      </w:r>
      <w:r>
        <w:t>: geconfigureerde, vaak geautomatiseerde reeksen van build-test-deploy-stappen die dieper geïntegreerd zijn in de ODC Portal dan LifeTime's promotiemodel. 1-Click Publish (deel 2) is de eenvoudigste vorm hiervan; voor een landschap op schaal configureer je een volledige pipeline met geautomatiseerde tests en expliciete goedkeurmomenten vóór productie.</w:t>
      </w:r>
    </w:p>
    <w:p>
      <w:r>
        <w:rPr>
          <w:b/>
        </w:rPr>
        <w:t>Het onderliggende principe — gecontroleerde, traceerbare promotie tussen omgevingen — is identiek. Het verschil zit in de mate van automatisering die default beschikbaar is:</w:t>
      </w:r>
      <w:r>
        <w:t xml:space="preserve"> ODC's pipelines zijn vanaf de basis ontworpen voor geautomatiseerde CI/CD-achtige flows; O11's LifeTime is primair een promotie- en governance-tool, waar geautomatiseerde pipelines meestal een aanvullende, zelf op te zetten laag zijn (bijvoorbeeld met externe CI/CD-tooling die op LifeTime's API's aansluit).</w:t>
      </w:r>
    </w:p>
    <w:p>
      <w:pPr>
        <w:spacing w:before="80" w:after="80"/>
        <w:pBdr>
          <w:bottom w:val="single" w:sz="6" w:color="E9A13B"/>
        </w:pBdr>
      </w:pPr>
    </w:p>
    <w:p>
      <w:pPr>
        <w:pStyle w:val="Heading2"/>
      </w:pPr>
      <w:r>
        <w:rPr>
          <w:color w:val="14213D"/>
        </w:rPr>
        <w:t>Dagdeel B — Rollback en gecontroleerde uitrol</w:t>
      </w:r>
    </w:p>
    <w:p>
      <w:pPr>
        <w:pStyle w:val="Heading3"/>
      </w:pPr>
      <w:r>
        <w:rPr>
          <w:color w:val="2563A8"/>
        </w:rPr>
        <w:t>19.4 Wanneer een deployment misgaat</w:t>
      </w:r>
    </w:p>
    <w:p>
      <w:r>
        <w:t xml:space="preserve">Een publicatie naar Production die onverwachte problemen oplevert, vraagt om een </w:t>
      </w:r>
      <w:r>
        <w:rPr>
          <w:b/>
        </w:rPr>
        <w:t>rollback</w:t>
      </w:r>
      <w:r>
        <w:t>: teruggaan naar de vorige, bekend-werkende versie. Voor Meridiaan is dit geen theoretische oefening — WGP 2.0 bedient het hele werkgeverslandschap, en een storing raakt direct de dagelijkse praktijk van tientallen HR-afdelingen.</w:t>
      </w:r>
    </w:p>
    <w:p>
      <w:r>
        <w:rPr>
          <w:b/>
        </w:rPr>
        <w:t>In O11</w:t>
      </w:r>
      <w:r>
        <w:t xml:space="preserve"> is rollback via LifeTime een expliciete actie: terugkeren naar een eerder gepubliceerde versie van een module, met de kanttekening dat dit voor datamodel-wijzigingen (een nieuw attribuut, een gewijzigde relatie) complexer is dan voor logica-only wijzigingen — een teruggedraaide schema-wijziging kan botsen met data die intussen al met het nieuwe schema is weggeschreven.</w:t>
      </w:r>
    </w:p>
    <w:p>
      <w:r>
        <w:rPr>
          <w:b/>
        </w:rPr>
        <w:t>In ODC</w:t>
      </w:r>
      <w:r>
        <w:t xml:space="preserve"> verloopt rollback via de pipeline-geschiedenis in de Portal, met een vergelijkbare complexiteit bij datamodel-wijzigingen. Het verschil zit vooral in de snelheid en het gemak waarmee een rollback wordt geïnitieerd — consistent met het bredere patroon dat ODC beheerhandelingen dichter bij de ontwikkelaar plaatst.</w:t>
      </w:r>
    </w:p>
    <w:p>
      <w:pPr>
        <w:pStyle w:val="Heading3"/>
      </w:pPr>
      <w:r>
        <w:rPr>
          <w:color w:val="2563A8"/>
        </w:rPr>
        <w:t>19.5 Gecontroleerde uitrol: de brug naar deel 15</w:t>
      </w:r>
    </w:p>
    <w:p>
      <w:r>
        <w:t xml:space="preserve">Deel 15 introduceerde de afweging tussen direct doorvoeren en gecontroleerd uitrollen voor het design system. Dat principe geldt nu voor het hele landschap: een grote wijziging (bijvoorbeeld een nieuwe versie van </w:t>
      </w:r>
      <w:r>
        <w:rPr>
          <w:rFonts w:ascii="Consolas" w:hAnsi="Consolas"/>
        </w:rPr>
        <w:t>MeridiaanMutatiesCore</w:t>
      </w:r>
      <w:r>
        <w:t>) kun je eerst naar een beperkt aantal modules uitrollen (bijvoorbeeld eerst WGP 2.0, dan pas de satellieten), meten of er geen problemen optreden, en pas dan breder uitrollen. Dit vermindert het risico van een grote, gelijktijdige verandering in een landschap met een mix van oud (O11) en nieuw (ODC).</w:t>
      </w:r>
    </w:p>
    <w:p>
      <w:pPr>
        <w:spacing w:before="80" w:after="80"/>
        <w:pBdr>
          <w:bottom w:val="single" w:sz="6" w:color="E9A13B"/>
        </w:pBdr>
      </w:pPr>
    </w:p>
    <w:p>
      <w:pPr>
        <w:pStyle w:val="Heading2"/>
      </w:pPr>
      <w:r>
        <w:rPr>
          <w:color w:val="14213D"/>
        </w:rPr>
        <w:t>Kernpunten</w:t>
      </w:r>
    </w:p>
    <w:p>
      <w:pPr>
        <w:pStyle w:val="ListBullet"/>
      </w:pPr>
      <w:r>
        <w:t>LifeTime (O11) en pipelines (ODC) dienen hetzelfde doel — gecontroleerde, traceerbare promotie — met een verschil in default-automatisering</w:t>
      </w:r>
    </w:p>
    <w:p>
      <w:pPr>
        <w:pStyle w:val="ListBullet"/>
      </w:pPr>
      <w:r>
        <w:t>Rollback is in beide platformen mogelijk, met vergelijkbare complexiteit bij datamodel-wijzigingen; ODC maakt het proces doorgaans toegankelijker</w:t>
      </w:r>
    </w:p>
    <w:p>
      <w:pPr>
        <w:pStyle w:val="ListBullet"/>
      </w:pPr>
      <w:r>
        <w:t>Gecontroleerde uitrol (eerst beperkt, dan breder) vermindert risico bij landschapsbrede wijzigingen — hetzelfde principe als bij het design system in deel 15</w:t>
      </w:r>
    </w:p>
    <w:p>
      <w:pPr>
        <w:pStyle w:val="ListBullet"/>
      </w:pPr>
      <w:r>
        <w:t>Op landschapsschaal is lifecycle-beheer een vak, niet een bijzaak van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