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Werkboek Deel 19 — Lifecycle en DevOps (2 dagdelen)</w:t>
      </w:r>
    </w:p>
    <w:p>
      <w:pPr>
        <w:spacing w:before="80" w:after="80"/>
        <w:pBdr>
          <w:bottom w:val="single" w:sz="6" w:color="E9A13B"/>
        </w:pBdr>
      </w:pPr>
    </w:p>
    <w:p>
      <w:pPr>
        <w:pStyle w:val="Heading2"/>
      </w:pPr>
      <w:r>
        <w:rPr>
          <w:color w:val="14213D"/>
        </w:rPr>
        <w:t>Dagdeel A</w:t>
      </w:r>
    </w:p>
    <w:p>
      <w:pPr>
        <w:pStyle w:val="Heading3"/>
      </w:pPr>
      <w:r>
        <w:rPr>
          <w:color w:val="2563A8"/>
        </w:rPr>
        <w:t>Opdracht 19.1 — LifeTime of pipeline? (beide banen gezamenlijk)</w:t>
      </w:r>
    </w:p>
    <w:p>
      <w:r>
        <w:rPr>
          <w:b/>
        </w:rPr>
        <w:t>a.</w:t>
      </w:r>
      <w:r>
        <w:t xml:space="preserve"> Een module moet van Development naar Test gepromoveerd worden met een expliciete goedkeuring van de teamlead.</w:t>
      </w:r>
    </w:p>
    <w:p>
      <w:r>
        <w:rPr>
          <w:b/>
        </w:rPr>
        <w:t>b.</w:t>
      </w:r>
      <w:r>
        <w:t xml:space="preserve"> Een geautomatiseerde reeks van build-test-deploy-stappen, standaard beschikbaar zonder aparte configuratie.</w:t>
      </w:r>
    </w:p>
    <w:p>
      <w:r>
        <w:rPr>
          <w:b/>
        </w:rPr>
        <w:t>c.</w:t>
      </w:r>
      <w:r>
        <w:t xml:space="preserve"> Een centraal overzicht van welke versie van welke module in welke omgeving draait.</w:t>
      </w:r>
    </w:p>
    <w:p>
      <w:pPr>
        <w:pStyle w:val="Heading4"/>
      </w:pPr>
      <w:r>
        <w:rPr>
          <w:color w:val="2563A8"/>
        </w:rPr>
        <w:t>Uitwerking 19.1</w:t>
      </w:r>
    </w:p>
    <w:p>
      <w:r>
        <w:rPr>
          <w:b/>
        </w:rPr>
        <w:t>a.</w:t>
      </w:r>
      <w:r>
        <w:t xml:space="preserve"> Beide platformen ondersteunen dit — het principe van gecontroleerde promotie met goedkeuring is gedeeld.</w:t>
      </w:r>
    </w:p>
    <w:p>
      <w:r>
        <w:rPr>
          <w:b/>
        </w:rPr>
        <w:t>b.</w:t>
      </w:r>
      <w:r>
        <w:t xml:space="preserve"> ODC — pipelines zijn vanaf de basis ontworpen voor deze automatisering; in O11 is dit een aanvullende, zelf op te zetten laag.</w:t>
      </w:r>
    </w:p>
    <w:p>
      <w:r>
        <w:rPr>
          <w:b/>
        </w:rPr>
        <w:t>c.</w:t>
      </w:r>
      <w:r>
        <w:t xml:space="preserve"> Beide — LifeTime en de ODC Portal bieden allebei dit overzicht, met een verschil in integratiediepte.</w:t>
      </w:r>
    </w:p>
    <w:p>
      <w:pPr>
        <w:pStyle w:val="Heading3"/>
      </w:pPr>
      <w:r>
        <w:rPr>
          <w:color w:val="2563A8"/>
        </w:rPr>
        <w:t>Baan A — Opdracht 19.A: Promotieflow inrichten in LifeTime</w:t>
      </w:r>
    </w:p>
    <w:p>
      <w:r>
        <w:t xml:space="preserve">Richt in LifeTime een promotieflow in voor </w:t>
      </w:r>
      <w:r>
        <w:rPr>
          <w:rFonts w:ascii="Consolas" w:hAnsi="Consolas"/>
        </w:rPr>
        <w:t>WGP2O11</w:t>
      </w:r>
      <w:r>
        <w:t>: Development → Test met een expliciete goedkeuringsstap. Documenteer welke rol de goedkeuring moet geven.</w:t>
      </w:r>
    </w:p>
    <w:p>
      <w:pPr>
        <w:pStyle w:val="Heading4"/>
      </w:pPr>
      <w:r>
        <w:rPr>
          <w:color w:val="2563A8"/>
        </w:rPr>
        <w:t>Uitwerking 19.A</w:t>
      </w:r>
    </w:p>
    <w:p>
      <w:r>
        <w:t>De goedkeuringsstap vereist een rol met de juiste LifeTime-rechten (vergelijkbaar met de rolstructuur uit deel 8, maar dan toegepast op deployment-rechten in plaats van applicatietoegang) — een teamlead-rol die niet automatisch aan elke developer wordt toegekend.</w:t>
      </w:r>
    </w:p>
    <w:p>
      <w:pPr>
        <w:pStyle w:val="Heading3"/>
      </w:pPr>
      <w:r>
        <w:rPr>
          <w:color w:val="2563A8"/>
        </w:rPr>
        <w:t>Baan B — Opdracht 19.B: Pipeline inrichten in de ODC Portal</w:t>
      </w:r>
    </w:p>
    <w:p>
      <w:r>
        <w:t xml:space="preserve">Herhaal Opdracht 19.A voor </w:t>
      </w:r>
      <w:r>
        <w:rPr>
          <w:rFonts w:ascii="Consolas" w:hAnsi="Consolas"/>
        </w:rPr>
        <w:t>WGP2ODC</w:t>
      </w:r>
      <w:r>
        <w:t xml:space="preserve"> als pipeline in de ODC Portal. Vergelijk het aantal configuratiestappen met Opdracht 19.A.</w:t>
      </w:r>
    </w:p>
    <w:p>
      <w:pPr>
        <w:pStyle w:val="Heading4"/>
      </w:pPr>
      <w:r>
        <w:rPr>
          <w:color w:val="2563A8"/>
        </w:rPr>
        <w:t>Uitwerking 19.B</w:t>
      </w:r>
    </w:p>
    <w:p>
      <w:r>
        <w:t>De pipeline-configuratie in ODC vraagt doorgaans minder losse configuratiestappen om tot een vergelijkbaar resultaat (gecontroleerde promotie met goedkeuring) te komen, dankzij de diepere integratie in de Portal — consistent met het patroon dat in eerdere delen (2, 9, 14) al zichtbaar was.</w:t>
      </w:r>
    </w:p>
    <w:p>
      <w:pPr>
        <w:spacing w:before="80" w:after="80"/>
        <w:pBdr>
          <w:bottom w:val="single" w:sz="6" w:color="E9A13B"/>
        </w:pBdr>
      </w:pPr>
    </w:p>
    <w:p>
      <w:pPr>
        <w:pStyle w:val="Heading2"/>
      </w:pPr>
      <w:r>
        <w:rPr>
          <w:color w:val="14213D"/>
        </w:rPr>
        <w:t>Dagdeel B</w:t>
      </w:r>
    </w:p>
    <w:p>
      <w:pPr>
        <w:pStyle w:val="Heading3"/>
      </w:pPr>
      <w:r>
        <w:rPr>
          <w:color w:val="2563A8"/>
        </w:rPr>
        <w:t>Opdracht 19.2 — Rollback-scenario (beide banen gezamenlijk)</w:t>
      </w:r>
    </w:p>
    <w:p>
      <w:r>
        <w:t xml:space="preserve">Een publicatie van </w:t>
      </w:r>
      <w:r>
        <w:rPr>
          <w:rFonts w:ascii="Consolas" w:hAnsi="Consolas"/>
        </w:rPr>
        <w:t>MeridiaanMutatiesCore</w:t>
      </w:r>
      <w:r>
        <w:t xml:space="preserve"> naar Production introduceert een fout die pas na een uur zichtbaar wordt, wanneer al enkele nieuwe mutaties met de nieuwe (foutieve) logica zijn verwerkt. Wat is de complicatie bij een simpele rollback, en wat zou je adviseren?</w:t>
      </w:r>
    </w:p>
    <w:p>
      <w:pPr>
        <w:pStyle w:val="Heading4"/>
      </w:pPr>
      <w:r>
        <w:rPr>
          <w:color w:val="2563A8"/>
        </w:rPr>
        <w:t>Uitwerking 19.2</w:t>
      </w:r>
    </w:p>
    <w:p>
      <w:r>
        <w:t>Een simpele rollback naar de vorige logica-versie lost het probleem voor toekomstige aanroepen op, maar corrigeert niet de mutaties die in het tussenliggende uur al met de foutieve logica zijn verwerkt — die vereisen een aparte, gerichte correctieactie (bijvoorbeeld een script dat de foutief verwerkte records identificeert en herstelt), los van de rollback zelf. Het advies: rollback direct voor het stoppen van verdere schade, gevolgd door een apart, zorgvuldig onderzocht correctietraject voor de al geraakte data — nooit aannemen dat rollback met terugwerkende kracht ook de tussentijdse data corrigeert.</w:t>
      </w:r>
    </w:p>
    <w:p>
      <w:pPr>
        <w:pStyle w:val="Heading3"/>
      </w:pPr>
      <w:r>
        <w:rPr>
          <w:color w:val="2563A8"/>
        </w:rPr>
        <w:t>Baan A — Opdracht 19.C: Rollback uitvoeren in LifeTime</w:t>
      </w:r>
    </w:p>
    <w:p>
      <w:r>
        <w:t xml:space="preserve">Voer in de opleidingsomgeving een rollback uit van een eerder gepubliceerde wijziging aan </w:t>
      </w:r>
      <w:r>
        <w:rPr>
          <w:rFonts w:ascii="Consolas" w:hAnsi="Consolas"/>
        </w:rPr>
        <w:t>WGP2O11</w:t>
      </w:r>
      <w:r>
        <w:t xml:space="preserve"> via LifeTime. Documenteer de stappen.</w:t>
      </w:r>
    </w:p>
    <w:p>
      <w:pPr>
        <w:pStyle w:val="Heading4"/>
      </w:pPr>
      <w:r>
        <w:rPr>
          <w:color w:val="2563A8"/>
        </w:rPr>
        <w:t>Uitwerking 19.C</w:t>
      </w:r>
    </w:p>
    <w:p>
      <w:r>
        <w:t>Rollback in LifeTime verloopt via het selecteren van een eerdere, bekend-werkende versie en het opnieuw promoveren daarvan — functioneel een "voorwaartse" promotie van een oudere versie, geen aparte "undo"-functie. Dit is een belangrijk inzicht: rollback is geen magische terugdraaiknop, maar het opnieuw toepassen van een eerdere staat.</w:t>
      </w:r>
    </w:p>
    <w:p>
      <w:pPr>
        <w:pStyle w:val="Heading3"/>
      </w:pPr>
      <w:r>
        <w:rPr>
          <w:color w:val="2563A8"/>
        </w:rPr>
        <w:t>Baan B — Opdracht 19.D: Rollback uitvoeren in de ODC Portal</w:t>
      </w:r>
    </w:p>
    <w:p>
      <w:r>
        <w:t xml:space="preserve">Herhaal Opdracht 19.C voor </w:t>
      </w:r>
      <w:r>
        <w:rPr>
          <w:rFonts w:ascii="Consolas" w:hAnsi="Consolas"/>
        </w:rPr>
        <w:t>WGP2ODC</w:t>
      </w:r>
      <w:r>
        <w:t xml:space="preserve"> via de pipeline-geschiedenis in de Portal.</w:t>
      </w:r>
    </w:p>
    <w:p>
      <w:pPr>
        <w:pStyle w:val="Heading4"/>
      </w:pPr>
      <w:r>
        <w:rPr>
          <w:color w:val="2563A8"/>
        </w:rPr>
        <w:t>Uitwerking 19.D</w:t>
      </w:r>
    </w:p>
    <w:p>
      <w:r>
        <w:t>Het onderliggende principe (opnieuw toepassen van een eerdere versie) is identiek; de Portal toont doorgaans een directere, visuelere pipeline-geschiedenis waaruit je de gewenste versie kunt selecteren, met minder stappen dan de equivalente actie in LifeTime.</w:t>
      </w:r>
    </w:p>
    <w:p>
      <w:pPr>
        <w:pStyle w:val="Heading3"/>
      </w:pPr>
      <w:r>
        <w:rPr>
          <w:color w:val="2563A8"/>
        </w:rPr>
        <w:t>Reflectieopdracht 19.3 (beide banen gezamenlijk)</w:t>
      </w:r>
    </w:p>
    <w:p>
      <w:r>
        <w:t>Waarom is gecontroleerde uitrol (eerst WGP 2.0, dan pas de satellieten) specifiek waardevol in een landschap met een mix van O11 en ODC, meer dan in een landschap dat volledig op één platform draait?</w:t>
      </w:r>
    </w:p>
    <w:p>
      <w:pPr>
        <w:pStyle w:val="Heading4"/>
      </w:pPr>
      <w:r>
        <w:rPr>
          <w:color w:val="2563A8"/>
        </w:rPr>
        <w:t>Uitwerking 19.3</w:t>
      </w:r>
    </w:p>
    <w:p>
      <w:r>
        <w:t>In een gemengd landschap is de kans op onvoorziene interactie-effecten groter: een wijziging in de gedeelde Core-laag moet niet alleen correct werken binnen ODC-modules, maar ook binnen de oudere O11-satellieten die mogelijk met minder recente aannames zijn gebouwd. Gecontroleerde uitrol geeft de kans om eerst in de nieuwere, beter geteste ODC-omgeving te valideren voordat de wijziging de oudere, mogelijk fragielere O11-satellieten bereikt — een risicospreiding die in een uniform, homogeen landschap minder noodzakelijk zou zijn.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