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20 — Technische schuld</w:t>
      </w:r>
    </w:p>
    <w:p>
      <w:r>
        <w:rPr>
          <w:b/>
        </w:rPr>
        <w:t>Duur:</w:t>
      </w:r>
      <w:r>
        <w:t xml:space="preserve"> 1 dagdeel (± 3 uur) — dit deel is, net als het equivalent in de EA-cursus, zelfstandig aanbiedbaar los van de rest van de cursus</w:t>
      </w:r>
    </w:p>
    <w:p>
      <w:r>
        <w:rPr>
          <w:b/>
        </w:rPr>
        <w:t>Vereiste voorkennis:</w:t>
      </w:r>
      <w:r>
        <w:t xml:space="preserve"> Deel 11-19 (voor het volledige cursusverband), maar ook zelfstandig te volgen met basiskennis van OutSystems-architectuur</w:t>
      </w:r>
    </w:p>
    <w:p>
      <w:r>
        <w:rPr>
          <w:b/>
        </w:rPr>
        <w:t>Materialen:</w:t>
      </w:r>
      <w:r>
        <w:t xml:space="preserve"> Reader, Werkboek, Slidedeck, Service Studio en ODC Studio-toegang met Architecture Dashboard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Technische schuld herkennen in een OutSystems-landschap, zowel nieuwbouw als legacy</w:t>
      </w:r>
    </w:p>
    <w:p>
      <w:pPr>
        <w:pStyle w:val="ListNumber"/>
      </w:pPr>
      <w:r>
        <w:t>Het Architecture Dashboard gebruiken om schuld meetbaar te maken</w:t>
      </w:r>
    </w:p>
    <w:p>
      <w:pPr>
        <w:pStyle w:val="ListNumber"/>
      </w:pPr>
      <w:r>
        <w:t>Prioriteren op basis van potentiële impact, niet op zichtbaarheid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11-19, intro technische schuld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20.1–20.2, discussie waar schuld zich verzamelt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20.1,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Architecture Dashboard-analyse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20.3–20.4, reflectieopdracht 20.2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21 (capstone niveau 2)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Dit deel werkt het beste als een "eerlijke spiegel" naar het eigen werk van de deelnemers in deel 11-19 — moedig dat expliciet aan.</w:t>
      </w:r>
      <w:r>
        <w:t xml:space="preserve"> In plaats van een abstracte, hypothetische casus te gebruiken, laat deelnemers hun eigen gebouwde landschap uit de voorgaande delen analyseren. Bevindingen die ze zelf tegenkomen (een vergeten schending, een niet-opgemerkte N+1) landen sterker dan een kunstmatig ingebouwd voorbeeld.</w:t>
      </w:r>
    </w:p>
    <w:p>
      <w:r>
        <w:rPr>
          <w:b/>
        </w:rPr>
        <w:t>Wees voorbereid op weerstand: sommige deelnemers ervaren het vinden van fouten in hun eigen werk als een negatieve beoordeling.</w:t>
      </w:r>
      <w:r>
        <w:t xml:space="preserve"> Herformuleer dit expliciet als normaal en verwacht — de hele cursus, en dit deel in het bijzonder, gaat over het bouwen van de discipline om schuld te herkennen en te prioriteren, niet over foutloos werken.</w:t>
      </w:r>
    </w:p>
    <w:p>
      <w:r>
        <w:rPr>
          <w:b/>
        </w:rPr>
        <w:t>Bewaak dat de prioriteringsdiscussie (Opdracht 20.1, reflectieopdracht 20.2) niet ontspoort in een debat over welk platform "beter" is bij het meten van schuld.</w:t>
      </w:r>
      <w:r>
        <w:t xml:space="preserve"> Herhaal expliciet: het punt is niet welk dashboard beter is, maar dat je het gebruikt.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"Moeten we elke gevonden schending direct corrigeren voordat we verdergaan naar deel 21?"</w:t>
      </w:r>
    </w:p>
    <w:p>
      <w:r>
        <w:t>Nee — leg uit dat het doel van dit deel is een prioriteitenlijst te maken, niet alles op te lossen binnen één dagdeel. Hoge-prioriteit bevindingen (Core-schendingen) verdienen aandacht vóór de capstone; lage-prioriteit bevindingen kunnen genoteerd worden voor later.</w:t>
      </w:r>
    </w:p>
    <w:p>
      <w:r>
        <w:rPr>
          <w:b/>
        </w:rPr>
        <w:t>"Is dit deel ook los, buiten de rest van de cursus, aan te bieden zoals bij de architectuurcursus?"</w:t>
      </w:r>
    </w:p>
    <w:p>
      <w:r>
        <w:t>Ja, met een korte introductie van de vierlagenregel (deel 11) vooraf is dit deel zelfstandig bruikbaar voor teams die specifiek aan technische-schuld-bewustzijn willen werken.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