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20 — Technische schuld</w:t>
      </w:r>
    </w:p>
    <w:p>
      <w:pPr>
        <w:spacing w:before="80" w:after="80"/>
        <w:pBdr>
          <w:bottom w:val="single" w:sz="6" w:color="E9A13B"/>
        </w:pBdr>
      </w:pPr>
    </w:p>
    <w:p>
      <w:pPr>
        <w:pStyle w:val="Heading2"/>
      </w:pPr>
      <w:r>
        <w:rPr>
          <w:color w:val="14213D"/>
        </w:rPr>
        <w:t>Opdracht 20.1 — Hoog of laag prioriteit refactoren? (beide banen gezamenlijk)</w:t>
      </w:r>
    </w:p>
    <w:p>
      <w:r>
        <w:rPr>
          <w:b/>
        </w:rPr>
        <w:t>a.</w:t>
      </w:r>
      <w:r>
        <w:t xml:space="preserve"> Een verborgen N+1-patroon in een zelden bezocht rapportagescherm van een oude O11-satelliet.</w:t>
      </w:r>
    </w:p>
    <w:p>
      <w:r>
        <w:rPr>
          <w:b/>
        </w:rPr>
        <w:t>b.</w:t>
      </w:r>
      <w:r>
        <w:t xml:space="preserve"> Een architecturale schending in </w:t>
      </w:r>
      <w:r>
        <w:rPr>
          <w:rFonts w:ascii="Consolas" w:hAnsi="Consolas"/>
        </w:rPr>
        <w:t>MeridiaanMutatiesCore</w:t>
      </w:r>
      <w:r>
        <w:t>: de Core-module heeft per ongeluk een afhankelijkheid naar een End-User-scherm.</w:t>
      </w:r>
    </w:p>
    <w:p>
      <w:r>
        <w:rPr>
          <w:b/>
        </w:rPr>
        <w:t>c.</w:t>
      </w:r>
      <w:r>
        <w:t xml:space="preserve"> Een verouderde, maar geïsoleerde workaround in één specifieke satelliet, zonder afhankelijke modules.</w:t>
      </w:r>
    </w:p>
    <w:p>
      <w:pPr>
        <w:pStyle w:val="Heading3"/>
      </w:pPr>
      <w:r>
        <w:rPr>
          <w:color w:val="2563A8"/>
        </w:rPr>
        <w:t>Uitwerking 20.1</w:t>
      </w:r>
    </w:p>
    <w:p>
      <w:r>
        <w:rPr>
          <w:b/>
        </w:rPr>
        <w:t>a.</w:t>
      </w:r>
      <w:r>
        <w:t xml:space="preserve"> Lage prioriteit — beperkte impact, laag gebruiksvolume.</w:t>
      </w:r>
    </w:p>
    <w:p>
      <w:r>
        <w:rPr>
          <w:b/>
        </w:rPr>
        <w:t>b.</w:t>
      </w:r>
      <w:r>
        <w:t xml:space="preserve"> Hoge prioriteit — schending in een module waarvan bijna alles afhangt, potentieel grote reikwijdte bij een probleem.</w:t>
      </w:r>
    </w:p>
    <w:p>
      <w:r>
        <w:rPr>
          <w:b/>
        </w:rPr>
        <w:t>c.</w:t>
      </w:r>
      <w:r>
        <w:t xml:space="preserve"> Lage tot middelmatige prioriteit — geïsoleerd, geen verspreiding van risico naar andere modules, tenzij de workaround zelf actief schade veroorzaakt.</w:t>
      </w:r>
    </w:p>
    <w:p>
      <w:pPr>
        <w:spacing w:before="80" w:after="80"/>
        <w:pBdr>
          <w:bottom w:val="single" w:sz="6" w:color="E9A13B"/>
        </w:pBdr>
      </w:pPr>
    </w:p>
    <w:p>
      <w:pPr>
        <w:pStyle w:val="Heading2"/>
      </w:pPr>
      <w:r>
        <w:rPr>
          <w:color w:val="14213D"/>
        </w:rPr>
        <w:t>Baan A — OutSystems 11</w:t>
      </w:r>
    </w:p>
    <w:p>
      <w:pPr>
        <w:pStyle w:val="Heading3"/>
      </w:pPr>
      <w:r>
        <w:rPr>
          <w:color w:val="2563A8"/>
        </w:rPr>
        <w:t>Opdracht 20.A — Architecture Dashboard-analyse in O11</w:t>
      </w:r>
    </w:p>
    <w:p>
      <w:r>
        <w:t xml:space="preserve">Voer een Architecture Dashboard-analyse uit op het landschap van </w:t>
      </w:r>
      <w:r>
        <w:rPr>
          <w:rFonts w:ascii="Consolas" w:hAnsi="Consolas"/>
        </w:rPr>
        <w:t>WGP2O11</w:t>
      </w:r>
      <w:r>
        <w:t xml:space="preserve"> en de gekoppelde modules uit deel 11-19. Identificeer minstens twee bevindingen en prioriteer ze volgens de vuistregel uit reader 20.4.</w:t>
      </w:r>
    </w:p>
    <w:p>
      <w:pPr>
        <w:pStyle w:val="Heading3"/>
      </w:pPr>
      <w:r>
        <w:rPr>
          <w:color w:val="2563A8"/>
        </w:rPr>
        <w:t>Uitwerking 20.A</w:t>
      </w:r>
    </w:p>
    <w:p>
      <w:r>
        <w:t>Typische bevindingen in een cursuslandschap na negentien delen: mogelijk een resterende directe afhankelijkheid die de vierlagenregel schendt (uit een eerdere, snel gebouwde oefening), of een module met ongebruikelijk veel afhankelijkheden. De prioritering moet expliciet redeneren vanuit impact (welke modules zouden geraakt worden bij een fout), niet vanuit hoe opvallend de bevinding in het dashboard wordt weergegeven.</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20.B — Architecture Dashboard-analyse in ODC</w:t>
      </w:r>
    </w:p>
    <w:p>
      <w:r>
        <w:t xml:space="preserve">Herhaal Opdracht 20.A voor het </w:t>
      </w:r>
      <w:r>
        <w:rPr>
          <w:rFonts w:ascii="Consolas" w:hAnsi="Consolas"/>
        </w:rPr>
        <w:t>WGP2ODC</w:t>
      </w:r>
      <w:r>
        <w:t>-landschap. Vergelijk de actualiteit en integratie van de analyse met wat je in Opdracht 20.A zag.</w:t>
      </w:r>
    </w:p>
    <w:p>
      <w:pPr>
        <w:pStyle w:val="Heading3"/>
      </w:pPr>
      <w:r>
        <w:rPr>
          <w:color w:val="2563A8"/>
        </w:rPr>
        <w:t>Uitwerking 20.B</w:t>
      </w:r>
    </w:p>
    <w:p>
      <w:r>
        <w:t>De ODC-analyse is doorgaans directer geïntegreerd en actueler beschikbaar binnen de Portal, consistent met het patroon uit de eerdere delen. Het punt van de vergelijking is niet welk platform "wint," maar dat beide platformen het mogelijk maken om schuld meetbaar te maken — de discipline om dat daadwerkelijk periodiek te doen, is in beide platformen een menselijke, organisatorische keuze.</w:t>
      </w:r>
    </w:p>
    <w:p>
      <w:pPr>
        <w:spacing w:before="80" w:after="80"/>
        <w:pBdr>
          <w:bottom w:val="single" w:sz="6" w:color="E9A13B"/>
        </w:pBdr>
      </w:pPr>
    </w:p>
    <w:p>
      <w:pPr>
        <w:pStyle w:val="Heading2"/>
      </w:pPr>
      <w:r>
        <w:rPr>
          <w:color w:val="14213D"/>
        </w:rPr>
        <w:t>Reflectieopdracht 20.2 (beide banen gezamenlijk)</w:t>
      </w:r>
    </w:p>
    <w:p>
      <w:r>
        <w:t>Waarom kan het gevaarlijker zijn om een subtiele, diep verborgen fout in een veelgebruikte Core-module te negeren dan een zichtbare, lelijke workaround in een geïsoleerde satelliet te laten bestaan?</w:t>
      </w:r>
    </w:p>
    <w:p>
      <w:pPr>
        <w:pStyle w:val="Heading3"/>
      </w:pPr>
      <w:r>
        <w:rPr>
          <w:color w:val="2563A8"/>
        </w:rPr>
        <w:t>Uitwerking 20.2</w:t>
      </w:r>
    </w:p>
    <w:p>
      <w:r>
        <w:t xml:space="preserve">Een fout in een Core-module zoals </w:t>
      </w:r>
      <w:r>
        <w:rPr>
          <w:rFonts w:ascii="Consolas" w:hAnsi="Consolas"/>
        </w:rPr>
        <w:t>MeridiaanMutatiesCore</w:t>
      </w:r>
      <w:r>
        <w:t xml:space="preserve"> verspreidt zich via elke module die ervan afhangt — WGP 2.0, Verzuimmeldingen, en potentieel de overige satellieten — waardoor een enkel probleem een landschapsbrede impact kan hebben, vaak pas zichtbaar op meerdere, schijnbaar ongerelateerde plekken tegelijk. Een lelijke maar geïsoleerde workaround blijft daarentegen begrensd tot de ene module waarin hij leeft; hoewel niet ideaal, is de reikwijdte van eventuele schade beperkt en voorspelbaar. Dit is precies waarom de vuistregel "refactor op impact, niet op zichtbaarheid" zo belangrijk is — de meest urgente schuld is vaak niet de meest opvallende.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