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21 — Capstone: landschapsontwerp</w:t>
      </w:r>
    </w:p>
    <w:p>
      <w:r>
        <w:rPr>
          <w:b/>
        </w:rPr>
        <w:t>Duur:</w:t>
      </w:r>
      <w:r>
        <w:t xml:space="preserve"> 1 dagdeel (± 3 uur), verdedigingstijd schaalt met groepsgrootte — overweeg een volledige dag bij groepen groter dan zes</w:t>
      </w:r>
    </w:p>
    <w:p>
      <w:r>
        <w:rPr>
          <w:b/>
        </w:rPr>
        <w:t>Vereiste voorkennis:</w:t>
      </w:r>
      <w:r>
        <w:t xml:space="preserve"> Deel 11-20, volledig</w:t>
      </w:r>
    </w:p>
    <w:p>
      <w:r>
        <w:rPr>
          <w:b/>
        </w:rPr>
        <w:t>Materialen:</w:t>
      </w:r>
      <w:r>
        <w:t xml:space="preserve"> Reader, Werkboek (rubric), Slidedeck, beide ontwikkelomgevingen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Alle onderdelen van niveau 2 samenbrengen in één samenhangend landschapsontwerp</w:t>
      </w:r>
    </w:p>
    <w:p>
      <w:pPr>
        <w:pStyle w:val="ListNumber"/>
      </w:pPr>
      <w:r>
        <w:t>Een coëxistentiestrategie tussen O11 en ODC beargumenteren</w:t>
      </w:r>
    </w:p>
    <w:p>
      <w:pPr>
        <w:pStyle w:val="ListNumber"/>
      </w:pPr>
      <w:r>
        <w:t>Verantwoording afleggen tegenover vier rollen, inclusief de nieuwe privacyfunctionaris-rol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heel niveau 2, intro capstone</w:t>
            </w:r>
          </w:p>
        </w:tc>
      </w:tr>
      <w:tr>
        <w:tc>
          <w:tcPr>
            <w:tcW w:type="dxa" w:w="4320"/>
          </w:tcPr>
          <w:p>
            <w:r>
              <w:t>0:15–1:15</w:t>
            </w:r>
          </w:p>
        </w:tc>
        <w:tc>
          <w:tcPr>
            <w:tcW w:type="dxa" w:w="4320"/>
          </w:tcPr>
          <w:p>
            <w:r>
              <w:t>Zelfstandige afrondingstijd (checklist reader 21.2)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1:30–2:45</w:t>
            </w:r>
          </w:p>
        </w:tc>
        <w:tc>
          <w:tcPr>
            <w:tcW w:type="dxa" w:w="4320"/>
          </w:tcPr>
          <w:p>
            <w:r>
              <w:t>Verdedigingen (30 min per deelnemer/groepje)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Gezamenlijke nabespreking, vooruitblik niveau 3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De privacyfunctionaris-rol is nieuw ten opzichte van niveau 1 — bereid deze rol extra goed voor, of wijs een specifieke collega-docent toe die zich hierin specialiseert.</w:t>
      </w:r>
      <w:r>
        <w:t xml:space="preserve"> Deze rol moet doorvragen tot op het niveau van een concreet, uitvoerbaar proces (niet "we hebben autorisatie geregeld" maar "loop het inzageverzoek stap voor stap door") — oppervlakkige antwoorden mogen niet wegkomen met een vaag "dat hebben we goed geregeld."</w:t>
      </w:r>
    </w:p>
    <w:p>
      <w:r>
        <w:rPr>
          <w:b/>
        </w:rPr>
        <w:t>Bewaak dat de beoordeling zich richt op samenhang, niet op individuele moduleperfectie — herhaal dit expliciet vóór de verdedigingen beginnen.</w:t>
      </w:r>
      <w:r>
        <w:t xml:space="preserve"> Een deelnemer met een technisch iets minder gepolijste WGP 2.0, maar een helder beargumenteerde coëxistentiestrategie en zelfkritische schuld-rapportage, scoort volgens de rubric hoger dan een technisch vlekkeloze maar incoherent samengestelde oplossing.</w:t>
      </w:r>
    </w:p>
    <w:p>
      <w:r>
        <w:rPr>
          <w:b/>
        </w:rPr>
        <w:t>Sluit dit deel af met een expliciete, stevige brug naar niveau 3.</w:t>
      </w:r>
      <w:r>
        <w:t xml:space="preserve"> Niveau 2 ging over één programma (WGP 2.0) binnen het bestaande landschap; niveau 3 gaat over portfoliobrede besluiten, de daadwerkelijke migratie van de veertien satellieten, en leiderschap als tech lead. Dit is een grotere sprong dan de overgang van niveau 1 naar 2 — bereid deelnemers daarop voor.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"Moet de coëxistentiestrategie definitief zijn, of mag die nog openstaande vragen bevatten?"</w:t>
      </w:r>
    </w:p>
    <w:p>
      <w:r>
        <w:t>Openstaande vragen zijn prima, mits expliciet benoemd en beargumenteerd waarom ze nog open zijn — dat toont juist een volwassen architecturale blik. Wat niet volstaat: geen enkele strategie, of een strategie die niet verder komt dan "we kijken wel."</w:t>
      </w:r>
    </w:p>
    <w:p>
      <w:r>
        <w:rPr>
          <w:b/>
        </w:rPr>
        <w:t>"Wat als een deelnemer een technisch probleem in de verdediging niet kan oplossen ter plekke?"</w:t>
      </w:r>
    </w:p>
    <w:p>
      <w:r>
        <w:t>Vergelijkbaar met niveau 1: het herkennen en correct duiden van het probleem weegt zwaarder dan het live oplossen ervan. Beoordeel het denkproces, niet alleen het eindresultaat.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