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Werkboek Deel 21 — Capstone: landschapsontwerp</w:t>
      </w:r>
    </w:p>
    <w:p>
      <w:pPr>
        <w:spacing w:before="80" w:after="80"/>
        <w:pBdr>
          <w:bottom w:val="single" w:sz="6" w:color="E9A13B"/>
        </w:pBdr>
      </w:pPr>
    </w:p>
    <w:p>
      <w:pPr>
        <w:pStyle w:val="Heading2"/>
      </w:pPr>
      <w:r>
        <w:rPr>
          <w:color w:val="14213D"/>
        </w:rPr>
        <w:t>Capstone-opdracht (beide banen)</w:t>
      </w:r>
    </w:p>
    <w:p>
      <w:r>
        <w:t>Lever het landschapsontwerp op volgens de checklist in reader 21.2. Bereid je voor op een verdediging van 30 minuten (15 toelichting, 15 vragen) vanuit vier rollen.</w:t>
      </w:r>
    </w:p>
    <w:p>
      <w:pPr>
        <w:pStyle w:val="Heading3"/>
      </w:pPr>
      <w:r>
        <w:rPr>
          <w:color w:val="2563A8"/>
        </w:rPr>
        <w:t>Voorbereidingsvragen per rol</w:t>
      </w:r>
    </w:p>
    <w:p>
      <w:r>
        <w:rPr>
          <w:b/>
        </w:rPr>
        <w:t>Consument (HR-medewerker):</w:t>
      </w:r>
      <w:r>
        <w:t xml:space="preserve"> Wat is er merkbaar veranderd voor mij ten opzichte van het oude WGP 1.0?</w:t>
      </w:r>
    </w:p>
    <w:p>
      <w:r>
        <w:rPr>
          <w:b/>
        </w:rPr>
        <w:t>Beheerder (Meridiaan IT):</w:t>
      </w:r>
      <w:r>
        <w:t xml:space="preserve"> Hoe herstel ik van een mislukte deployment? Waar zie ik technische schuld die om aandacht vraagt?</w:t>
      </w:r>
    </w:p>
    <w:p>
      <w:r>
        <w:rPr>
          <w:b/>
        </w:rPr>
        <w:t>Stuurgroeplid:</w:t>
      </w:r>
      <w:r>
        <w:t xml:space="preserve"> Wat is de businesswaarde van de gekozen coëxistentiestrategie ten opzichte van "alles in één keer naar ODC"?</w:t>
      </w:r>
    </w:p>
    <w:p>
      <w:r>
        <w:rPr>
          <w:b/>
        </w:rPr>
        <w:t>Privacyfunctionaris (nieuw):</w:t>
      </w:r>
      <w:r>
        <w:t xml:space="preserve"> Kunt u een concreet inzageverzoek van begin tot eind doorlopen — welke stappen, welke systemen, welke termijn?</w:t>
      </w:r>
    </w:p>
    <w:p>
      <w:pPr>
        <w:spacing w:before="80" w:after="80"/>
        <w:pBdr>
          <w:bottom w:val="single" w:sz="6" w:color="E9A13B"/>
        </w:pBdr>
      </w:pPr>
    </w:p>
    <w:p>
      <w:pPr>
        <w:pStyle w:val="Heading2"/>
      </w:pPr>
      <w:r>
        <w:rPr>
          <w:color w:val="14213D"/>
        </w:rPr>
        <w:t>Rubric verdediging (vijf criteria, ieder 0-2 punten)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Criterium</w:t>
            </w:r>
          </w:p>
        </w:tc>
        <w:tc>
          <w:tcPr>
            <w:tcW w:type="dxa" w:w="2160"/>
          </w:tcPr>
          <w:p>
            <w:r>
              <w:rPr>
                <w:b/>
              </w:rPr>
              <w:t>0 punten</w:t>
            </w:r>
          </w:p>
        </w:tc>
        <w:tc>
          <w:tcPr>
            <w:tcW w:type="dxa" w:w="2160"/>
          </w:tcPr>
          <w:p>
            <w:r>
              <w:rPr>
                <w:b/>
              </w:rPr>
              <w:t>1 punt</w:t>
            </w:r>
          </w:p>
        </w:tc>
        <w:tc>
          <w:tcPr>
            <w:tcW w:type="dxa" w:w="2160"/>
          </w:tcPr>
          <w:p>
            <w:r>
              <w:rPr>
                <w:b/>
              </w:rPr>
              <w:t>2 punten</w:t>
            </w:r>
          </w:p>
        </w:tc>
      </w:tr>
      <w:tr>
        <w:tc>
          <w:tcPr>
            <w:tcW w:type="dxa" w:w="2160"/>
          </w:tcPr>
          <w:p>
            <w:r>
              <w:rPr>
                <w:b/>
              </w:rPr>
              <w:t>Architecturale samenhang</w:t>
            </w:r>
          </w:p>
        </w:tc>
        <w:tc>
          <w:tcPr>
            <w:tcW w:type="dxa" w:w="2160"/>
          </w:tcPr>
          <w:p>
            <w:r>
              <w:t>Modules los van elkaar, geen consistente laagindeling</w:t>
            </w:r>
          </w:p>
        </w:tc>
        <w:tc>
          <w:tcPr>
            <w:tcW w:type="dxa" w:w="2160"/>
          </w:tcPr>
          <w:p>
            <w:r>
              <w:t>Grotendeels consistent, met uitzonderingen</w:t>
            </w:r>
          </w:p>
        </w:tc>
        <w:tc>
          <w:tcPr>
            <w:tcW w:type="dxa" w:w="2160"/>
          </w:tcPr>
          <w:p>
            <w:r>
              <w:t>Vierlagenregel consequent toegepast en verantwoord</w:t>
            </w:r>
          </w:p>
        </w:tc>
      </w:tr>
      <w:tr>
        <w:tc>
          <w:tcPr>
            <w:tcW w:type="dxa" w:w="2160"/>
          </w:tcPr>
          <w:p>
            <w:r>
              <w:rPr>
                <w:b/>
              </w:rPr>
              <w:t>Coëxistentiestrategie</w:t>
            </w:r>
          </w:p>
        </w:tc>
        <w:tc>
          <w:tcPr>
            <w:tcW w:type="dxa" w:w="2160"/>
          </w:tcPr>
          <w:p>
            <w:r>
              <w:t>Geen expliciete keuze zichtbaar</w:t>
            </w:r>
          </w:p>
        </w:tc>
        <w:tc>
          <w:tcPr>
            <w:tcW w:type="dxa" w:w="2160"/>
          </w:tcPr>
          <w:p>
            <w:r>
              <w:t>Keuze aanwezig, beperkt onderbouwd</w:t>
            </w:r>
          </w:p>
        </w:tc>
        <w:tc>
          <w:tcPr>
            <w:tcW w:type="dxa" w:w="2160"/>
          </w:tcPr>
          <w:p>
            <w:r>
              <w:t>Heldere, beargumenteerde verdeling O11/ODC met concrete integratie</w:t>
            </w:r>
          </w:p>
        </w:tc>
      </w:tr>
      <w:tr>
        <w:tc>
          <w:tcPr>
            <w:tcW w:type="dxa" w:w="2160"/>
          </w:tcPr>
          <w:p>
            <w:r>
              <w:rPr>
                <w:b/>
              </w:rPr>
              <w:t>Beveiliging en AVG</w:t>
            </w:r>
          </w:p>
        </w:tc>
        <w:tc>
          <w:tcPr>
            <w:tcW w:type="dxa" w:w="2160"/>
          </w:tcPr>
          <w:p>
            <w:r>
              <w:t>Basale autorisatie, geen audit/AVG-onderbouwing</w:t>
            </w:r>
          </w:p>
        </w:tc>
        <w:tc>
          <w:tcPr>
            <w:tcW w:type="dxa" w:w="2160"/>
          </w:tcPr>
          <w:p>
            <w:r>
              <w:t>Audit aanwezig, AVG-onderbouwing oppervlakkig</w:t>
            </w:r>
          </w:p>
        </w:tc>
        <w:tc>
          <w:tcPr>
            <w:tcW w:type="dxa" w:w="2160"/>
          </w:tcPr>
          <w:p>
            <w:r>
              <w:t>Volledige audit + concreet uitgewerkt AVG-scenario (bijv. inzageverzoek)</w:t>
            </w:r>
          </w:p>
        </w:tc>
      </w:tr>
      <w:tr>
        <w:tc>
          <w:tcPr>
            <w:tcW w:type="dxa" w:w="2160"/>
          </w:tcPr>
          <w:p>
            <w:r>
              <w:rPr>
                <w:b/>
              </w:rPr>
              <w:t>Omgaan met falen</w:t>
            </w:r>
          </w:p>
        </w:tc>
        <w:tc>
          <w:tcPr>
            <w:tcW w:type="dxa" w:w="2160"/>
          </w:tcPr>
          <w:p>
            <w:r>
              <w:t>Geen rollback-scenario uitgewerkt</w:t>
            </w:r>
          </w:p>
        </w:tc>
        <w:tc>
          <w:tcPr>
            <w:tcW w:type="dxa" w:w="2160"/>
          </w:tcPr>
          <w:p>
            <w:r>
              <w:t>Rollback beschreven, complicaties niet benoemd</w:t>
            </w:r>
          </w:p>
        </w:tc>
        <w:tc>
          <w:tcPr>
            <w:tcW w:type="dxa" w:w="2160"/>
          </w:tcPr>
          <w:p>
            <w:r>
              <w:t>Rollback-scenario mét expliciete complicatie (bijv. al-verwerkte data)</w:t>
            </w:r>
          </w:p>
        </w:tc>
      </w:tr>
      <w:tr>
        <w:tc>
          <w:tcPr>
            <w:tcW w:type="dxa" w:w="2160"/>
          </w:tcPr>
          <w:p>
            <w:r>
              <w:rPr>
                <w:b/>
              </w:rPr>
              <w:t>Zelfkritische blik op schuld</w:t>
            </w:r>
          </w:p>
        </w:tc>
        <w:tc>
          <w:tcPr>
            <w:tcW w:type="dxa" w:w="2160"/>
          </w:tcPr>
          <w:p>
            <w:r>
              <w:t>Geen technische-schuld-rapportage</w:t>
            </w:r>
          </w:p>
        </w:tc>
        <w:tc>
          <w:tcPr>
            <w:tcW w:type="dxa" w:w="2160"/>
          </w:tcPr>
          <w:p>
            <w:r>
              <w:t>Rapportage aanwezig, geen prioritering</w:t>
            </w:r>
          </w:p>
        </w:tc>
        <w:tc>
          <w:tcPr>
            <w:tcW w:type="dxa" w:w="2160"/>
          </w:tcPr>
          <w:p>
            <w:r>
              <w:t>Rapportage met heldere, beargumenteerde prioritering op impact</w:t>
            </w:r>
          </w:p>
        </w:tc>
      </w:tr>
    </w:tbl>
    <w:p/>
    <w:p>
      <w:r>
        <w:rPr>
          <w:b/>
        </w:rPr>
        <w:t>Voorbeelduitwerking — sterk antwoord op de privacyfunctionaris-vraag:</w:t>
      </w:r>
    </w:p>
    <w:p>
      <w:r>
        <w:t xml:space="preserve">"Een inzageverzoek van een werknemer verloopt via [proces], waarbij het verzoek eerst bij de beheerder van </w:t>
      </w:r>
      <w:r>
        <w:rPr>
          <w:rFonts w:ascii="Consolas" w:hAnsi="Consolas"/>
        </w:rPr>
        <w:t>MeridiaanMutatiesCore</w:t>
      </w:r>
      <w:r>
        <w:t xml:space="preserve"> terechtkomt omdat de deelnemersgegevens daar eigenaarschap hebben — niet bij WGP 2.0 of Verzuimmeldingen zelf, die alleen lezen. De AuditLog toont vervolgens exact welke systemen en gebruikers ooit toegang tot die gegevens hadden, wat het antwoord op het verzoek compleet maakt binnen de wettelijke termijn." Dit antwoord verbindt expliciet het eigenaarschapsprincipe (deel 13) met de AVG-praktijk (deel 17) — precies de synthese die niveau 2 beoogt.</w:t>
      </w:r>
    </w:p>
    <w:p>
      <w:r>
        <w:rPr>
          <w:b/>
        </w:rPr>
        <w:t>Voorbeelduitwerking — zwak antwoord op dezelfde vraag:</w:t>
      </w:r>
    </w:p>
    <w:p>
      <w:r>
        <w:t>"Dat zoeken we dan op in de database." Dit antwoord toont geen begrip van eigenaarschap, audit-structuur, of de wettelijke termijn-eis, en behandelt AVG als een ad-hoc zoekopdracht in plaats van een ontworpen proces.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