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22 — Van applicatie naar portfolio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Niveau 1 en 2 volledig</w:t>
      </w:r>
    </w:p>
    <w:p>
      <w:r>
        <w:rPr>
          <w:b/>
        </w:rPr>
        <w:t>Materialen:</w:t>
      </w:r>
      <w:r>
        <w:t xml:space="preserve"> Reader, Werkboek, Slidedeck, LifeTime- en ODC Portal-toegang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Modules categoriseren op portfolioniveau (behouden/uitfaseren/lastige middencategorie)</w:t>
      </w:r>
    </w:p>
    <w:p>
      <w:pPr>
        <w:pStyle w:val="ListNumber"/>
      </w:pPr>
      <w:r>
        <w:t>Een hergebruikbeleid beargumenteren</w:t>
      </w:r>
    </w:p>
    <w:p>
      <w:pPr>
        <w:pStyle w:val="ListNumber"/>
      </w:pPr>
      <w:r>
        <w:t>De governance-rolgrens tussen tech lead (voorbereiden) en Architecture Board (beslissen) toepassen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0:00–0:20</w:t>
            </w:r>
          </w:p>
        </w:tc>
        <w:tc>
          <w:tcPr>
            <w:tcW w:type="dxa" w:w="4320"/>
          </w:tcPr>
          <w:p>
            <w:r>
              <w:t>Intro niveau 3, casusoverdracht naar portfoliobesluit onder Wtp-druk</w:t>
            </w:r>
          </w:p>
        </w:tc>
      </w:tr>
      <w:tr>
        <w:tc>
          <w:tcPr>
            <w:tcW w:type="dxa" w:w="4320"/>
          </w:tcPr>
          <w:p>
            <w:r>
              <w:t>0:20–0:50</w:t>
            </w:r>
          </w:p>
        </w:tc>
        <w:tc>
          <w:tcPr>
            <w:tcW w:type="dxa" w:w="4320"/>
          </w:tcPr>
          <w:p>
            <w:r>
              <w:t>Reader 22.1–22.2, discussie categorisering</w:t>
            </w:r>
          </w:p>
        </w:tc>
      </w:tr>
      <w:tr>
        <w:tc>
          <w:tcPr>
            <w:tcW w:type="dxa" w:w="4320"/>
          </w:tcPr>
          <w:p>
            <w:r>
              <w:t>0:50–1:15</w:t>
            </w:r>
          </w:p>
        </w:tc>
        <w:tc>
          <w:tcPr>
            <w:tcW w:type="dxa" w:w="4320"/>
          </w:tcPr>
          <w:p>
            <w:r>
              <w:t>Opdracht 22.1,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portfolio-inventarisatie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22.3–22.4, reflectieopdracht 22.2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23 (migratie, 2 dagdelen)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De overgang naar niveau 3 is een grotere sprong dan die van niveau 1 naar 2 — besteed extra tijd aan het herpositioneren van de deelnemer als tech lead, niet als bouwer.</w:t>
      </w:r>
      <w:r>
        <w:t xml:space="preserve"> Vanaf dit deel verschuift de toon van "hoe bouw ik dit correct" naar "welke opties en risico's leg ik voor, en aan wie."</w:t>
      </w:r>
    </w:p>
    <w:p>
      <w:r>
        <w:rPr>
          <w:b/>
        </w:rPr>
        <w:t>De lastige middencategorie (Opdracht 22.1c) is het belangrijkste leermoment van dit deel — een categoriseringsoefening met een duidelijk goed/fout antwoord zou het punt missen.</w:t>
      </w:r>
      <w:r>
        <w:t xml:space="preserve"> Laat de discussie hier bewust genuanceerd blijven; er is geen enkelvoudig correct antwoord over wanneer zo'n module gemigreerd moet worden, alleen een goed voorbereide afweging (die in deel 23 concreet wordt).</w:t>
      </w:r>
    </w:p>
    <w:p>
      <w:r>
        <w:rPr>
          <w:b/>
        </w:rPr>
        <w:t>Opdracht 22.A/B (portfolio-inventarisatie) illustreert een praktisch, vaak onderschat probleem: geen van beide platformen geeft je automatisch alle data die je voor een portfoliobeslissing nodig hebt.</w:t>
      </w:r>
      <w:r>
        <w:t xml:space="preserve"> Dit is een goed moment om te benadrukken dat een tech lead soms zelf aanvullende monitoring of rapportage moet organiseren, in plaats van te wachten tot het platform dit levert.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"Hoeveel modules is 'te veel' voor een portfolio als dat van Meridiaan?"</w:t>
      </w:r>
    </w:p>
    <w:p>
      <w:r>
        <w:t>Er is geen universeel getal — de vuistregel is dat elke module een duidelijke, actieve reden van bestaan moet hebben. Een hergebruikbeleid (22.2) is effectiever dan een arbitraire limiet.</w:t>
      </w:r>
    </w:p>
    <w:p>
      <w:r>
        <w:rPr>
          <w:b/>
        </w:rPr>
        <w:t>"Is de Architecture Board hetzelfde gremium als in de EA-cursus?"</w:t>
      </w:r>
    </w:p>
    <w:p>
      <w:r>
        <w:t>Conceptueel vergelijkbaar — beide cursussen behandelen governance-gremia met een vergelijkbare rolverdeling (voorbereiden versus beslissen), toegepast op hun eigen domein (architectuur breed versus applicatieportfolio specifiek).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