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22 — Van applicatie naar portfolio: governance en hergebruikbeleid</w:t>
      </w:r>
    </w:p>
    <w:p>
      <w:pPr>
        <w:pStyle w:val="Heading2"/>
      </w:pPr>
      <w:r>
        <w:rPr>
          <w:color w:val="14213D"/>
        </w:rPr>
        <w:t>Niveau 3 · Leidend · OutSystems (O11 &amp; ODC)</w:t>
      </w:r>
    </w:p>
    <w:p>
      <w:pPr>
        <w:spacing w:before="80" w:after="80"/>
        <w:pBdr>
          <w:bottom w:val="single" w:sz="6" w:color="E9A13B"/>
        </w:pBdr>
      </w:pPr>
    </w:p>
    <w:p>
      <w:pPr>
        <w:pStyle w:val="Heading2"/>
      </w:pPr>
      <w:r>
        <w:rPr>
          <w:color w:val="14213D"/>
        </w:rPr>
        <w:t>Casusintroductie niveau 3: het portfoliobesluit</w:t>
      </w:r>
    </w:p>
    <w:p>
      <w:r>
        <w:t xml:space="preserve">Achttien maanden na de capstone van niveau 2 draait WGP 2.0 stabiel naast de resterende O11-satellieten. Meridiaan staat nu voor een grotere vraag, aangejaagd door de </w:t>
      </w:r>
      <w:r>
        <w:rPr>
          <w:b/>
        </w:rPr>
        <w:t>Wtp-stelselovergang</w:t>
      </w:r>
      <w:r>
        <w:t xml:space="preserve"> (bekend uit de EA-cursus): binnen twee jaar moet het volledige applicatieportfolio — vijftien modules, een mix van zes-jaar-oud O11 en anderhalf jaar oud ODC — klaar zijn voor een sterk gewijzigd pensioenlandschap. Dit is niet langer een technisch vraagstuk over één applicatie of zelfs één landschap; het is een </w:t>
      </w:r>
      <w:r>
        <w:rPr>
          <w:b/>
        </w:rPr>
        <w:t>portfoliobesluit</w:t>
      </w:r>
      <w:r>
        <w:t>: wat behouden we, wat migreren we, wat bouwen we opnieuw, en in welke volgorde?</w:t>
      </w:r>
    </w:p>
    <w:p>
      <w:r>
        <w:t xml:space="preserve">Niveau 3 leidt je op tot de rol die dit soort besluiten voorbereidt: niet de bouwer, maar de </w:t>
      </w:r>
      <w:r>
        <w:rPr>
          <w:b/>
        </w:rPr>
        <w:t>tech lead</w:t>
      </w:r>
      <w:r>
        <w:t xml:space="preserve"> die opties, risico's en trade-offs helder maakt — het besluit zelf blijft, net als in de EA- en SA-cursus, aan de opdrachtgever.</w:t>
      </w:r>
    </w:p>
    <w:p>
      <w:pPr>
        <w:spacing w:before="80" w:after="80"/>
        <w:pBdr>
          <w:bottom w:val="single" w:sz="6" w:color="E9A13B"/>
        </w:pBdr>
      </w:pPr>
    </w:p>
    <w:p>
      <w:pPr>
        <w:pStyle w:val="Heading2"/>
      </w:pPr>
      <w:r>
        <w:rPr>
          <w:color w:val="14213D"/>
        </w:rPr>
        <w:t>22.1 Van architectuur van één landschap naar governance van een portfolio</w:t>
      </w:r>
    </w:p>
    <w:p>
      <w:r>
        <w:t>Niveau 2 leerde je de Architecture Canvas voor één landschap (WGP 2.0 plus omringende modules). Portfoliogovernance werkt op een hoger abstractieniveau: niet "hoort deze module in de Core-laag," maar "verdient deze applicatie nog investering, of is het tijd om haar uit te faseren?"</w:t>
      </w:r>
    </w:p>
    <w:p>
      <w:r>
        <w:t>Meridiaan's portfolio bevat nu drie categorieën: modules die evident moeten blijven bestaan (WGP 2.0, recent en strategisch), modules die evident aan het einde van hun levensduur zijn (een oude rapportagetool die niemand meer gebruikt), en — de lastigste categorie — modules die functioneel nog waardevol zijn maar technisch verouderd (bijvoorbeeld een BPT-gebaseerde goedkeuringsflow, deel 18).</w:t>
      </w:r>
    </w:p>
    <w:p>
      <w:pPr>
        <w:spacing w:before="80" w:after="80"/>
        <w:pBdr>
          <w:bottom w:val="single" w:sz="6" w:color="E9A13B"/>
        </w:pBdr>
      </w:pPr>
    </w:p>
    <w:p>
      <w:pPr>
        <w:pStyle w:val="Heading2"/>
      </w:pPr>
      <w:r>
        <w:rPr>
          <w:color w:val="14213D"/>
        </w:rPr>
        <w:t>22.2 Hergebruikbeleid: wanneer bouw je, wanneer hergebruik je</w:t>
      </w:r>
    </w:p>
    <w:p>
      <w:r>
        <w:t xml:space="preserve">Bij vijftien modules is de verleiding groot om voor elke nieuwe behoefte een nieuwe module te bouwen. Een volwassen portfolio hanteert een expliciet </w:t>
      </w:r>
      <w:r>
        <w:rPr>
          <w:b/>
        </w:rPr>
        <w:t>hergebruikbeleid</w:t>
      </w:r>
      <w:r>
        <w:t>: voordat een team een nieuwe module start, wordt eerst getoetst of bestaande Core- of Foundation-modules (deel 11-12) de behoefte al (deels) dekken. Dit is geen bureaucratische vertraging — het is precies wat voorkomt dat het portfolio over vijf jaar dertig modules telt in plaats van vijftien, met alle bijbehorende onderhoudslast.</w:t>
      </w:r>
    </w:p>
    <w:p>
      <w:pPr>
        <w:spacing w:before="80" w:after="80"/>
        <w:pBdr>
          <w:bottom w:val="single" w:sz="6" w:color="E9A13B"/>
        </w:pBdr>
      </w:pPr>
    </w:p>
    <w:p>
      <w:pPr>
        <w:pStyle w:val="Heading2"/>
      </w:pPr>
      <w:r>
        <w:rPr>
          <w:color w:val="14213D"/>
        </w:rPr>
        <w:t>22.3 Governance: wie beslist wat</w:t>
      </w:r>
    </w:p>
    <w:p>
      <w:r>
        <w:t xml:space="preserve">Op portfolioniveau ontstaat een nieuwe governance-vraag die niveau 1 en 2 nog niet kenden: wie heeft het mandaat om te beslissen dat een module wordt uitgefaseerd, gemigreerd, of dat een nieuw hergebruikbeleid wordt afgedwongen? Voor Meridiaan is dit typisch een </w:t>
      </w:r>
      <w:r>
        <w:rPr>
          <w:b/>
        </w:rPr>
        <w:t>Architecture Board</w:t>
      </w:r>
      <w:r>
        <w:t>-achtige structuur (vergelijkbaar met wat je in de EA-cursus zag): een klein gremium met vertegenwoordiging vanuit IT, business en compliance, dat portfoliobrede beslissingen neemt op basis van door de tech lead voorbereide opties.</w:t>
      </w:r>
    </w:p>
    <w:p>
      <w:pPr>
        <w:spacing w:before="80" w:after="80"/>
        <w:pBdr>
          <w:bottom w:val="single" w:sz="6" w:color="E9A13B"/>
        </w:pBdr>
      </w:pPr>
    </w:p>
    <w:p>
      <w:pPr>
        <w:pStyle w:val="Heading2"/>
      </w:pPr>
      <w:r>
        <w:rPr>
          <w:color w:val="14213D"/>
        </w:rPr>
        <w:t>22.4 Spoorsplitsing: portfoliogovernance in een gemengd O11/ODC-landschap</w:t>
      </w:r>
    </w:p>
    <w:p>
      <w:r>
        <w:t xml:space="preserve">Het governance-principe is platformonafhankelijk. Het praktische verschil: een portfolio dat volledig in één platform draait, heeft één set beheertools (LifeTime óf de Portal) om overzicht te houden. Meridiaan's gemengde portfolio vraagt een </w:t>
      </w:r>
      <w:r>
        <w:rPr>
          <w:b/>
        </w:rPr>
        <w:t>gecombineerd overzicht</w:t>
      </w:r>
      <w:r>
        <w:t xml:space="preserve"> — een tech lead die portfoliobeslissingen voorbereidt, moet zowel LifeTime als de ODC Portal kunnen raadplegen en de bevindingen daaruit samenvoegen tot één coherent beeld, iets waarvoor geen van beide platformen native ondersteuning biedt.</w:t>
      </w:r>
    </w:p>
    <w:p>
      <w:pPr>
        <w:spacing w:before="80" w:after="80"/>
        <w:pBdr>
          <w:bottom w:val="single" w:sz="6" w:color="E9A13B"/>
        </w:pBdr>
      </w:pPr>
    </w:p>
    <w:p>
      <w:pPr>
        <w:pStyle w:val="Heading2"/>
      </w:pPr>
      <w:r>
        <w:rPr>
          <w:color w:val="14213D"/>
        </w:rPr>
        <w:t>Kernpunten</w:t>
      </w:r>
    </w:p>
    <w:p>
      <w:pPr>
        <w:pStyle w:val="ListBullet"/>
      </w:pPr>
      <w:r>
        <w:t>Portfoliogovernance werkt op een hoger niveau dan landschapsarchitectuur: welke applicatie verdient nog investering?</w:t>
      </w:r>
    </w:p>
    <w:p>
      <w:pPr>
        <w:pStyle w:val="ListBullet"/>
      </w:pPr>
      <w:r>
        <w:t>Een expliciet hergebruikbeleid voorkomt ongecontroleerde portfoliogroei</w:t>
      </w:r>
    </w:p>
    <w:p>
      <w:pPr>
        <w:pStyle w:val="ListBullet"/>
      </w:pPr>
      <w:r>
        <w:t>Portfoliobeslissingen vragen een mandaat-structuur (Architecture Board) — de tech lead bereidt voor, het board beslist</w:t>
      </w:r>
    </w:p>
    <w:p>
      <w:pPr>
        <w:pStyle w:val="ListBullet"/>
      </w:pPr>
      <w:r>
        <w:t>Een gemengd O11/ODC-portfolio vraagt een gecombineerd overzicht dat geen van beide platformen native biedt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