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22 — Van applicatie naar portfolio</w:t>
      </w:r>
    </w:p>
    <w:p>
      <w:pPr>
        <w:spacing w:before="80" w:after="80"/>
        <w:pBdr>
          <w:bottom w:val="single" w:sz="6" w:color="E9A13B"/>
        </w:pBdr>
      </w:pPr>
    </w:p>
    <w:p>
      <w:pPr>
        <w:pStyle w:val="Heading2"/>
      </w:pPr>
      <w:r>
        <w:rPr>
          <w:color w:val="14213D"/>
        </w:rPr>
        <w:t>Opdracht 22.1 — In welke categorie valt deze module? (beide banen gezamenlijk)</w:t>
      </w:r>
    </w:p>
    <w:p>
      <w:r>
        <w:rPr>
          <w:b/>
        </w:rPr>
        <w:t>a.</w:t>
      </w:r>
      <w:r>
        <w:t xml:space="preserve"> WGP 2.0 — anderhalf jaar oud, strategisch, actief doorontwikkeld.</w:t>
      </w:r>
    </w:p>
    <w:p>
      <w:r>
        <w:rPr>
          <w:b/>
        </w:rPr>
        <w:t>b.</w:t>
      </w:r>
      <w:r>
        <w:t xml:space="preserve"> Een oude rapportagetool uit de eerste jaren van O11, met minder dan vijf gebruikers per maand.</w:t>
      </w:r>
    </w:p>
    <w:p>
      <w:r>
        <w:rPr>
          <w:b/>
        </w:rPr>
        <w:t>c.</w:t>
      </w:r>
      <w:r>
        <w:t xml:space="preserve"> Een BPT-gebaseerde goedkeuringsflow, functioneel nog essentieel, maar technisch verouderd en lastig te onderhouden.</w:t>
      </w:r>
    </w:p>
    <w:p>
      <w:pPr>
        <w:pStyle w:val="Heading3"/>
      </w:pPr>
      <w:r>
        <w:rPr>
          <w:color w:val="2563A8"/>
        </w:rPr>
        <w:t>Uitwerking 22.1</w:t>
      </w:r>
    </w:p>
    <w:p>
      <w:r>
        <w:rPr>
          <w:b/>
        </w:rPr>
        <w:t>a.</w:t>
      </w:r>
      <w:r>
        <w:t xml:space="preserve"> Evident behouden — recent, strategisch, actieve investering gerechtvaardigd.</w:t>
      </w:r>
    </w:p>
    <w:p>
      <w:r>
        <w:rPr>
          <w:b/>
        </w:rPr>
        <w:t>b.</w:t>
      </w:r>
      <w:r>
        <w:t xml:space="preserve"> Evident uitfaseren — lage waarde, hoge relatieve onderhoudslast per gebruiker.</w:t>
      </w:r>
    </w:p>
    <w:p>
      <w:r>
        <w:rPr>
          <w:b/>
        </w:rPr>
        <w:t>c.</w:t>
      </w:r>
      <w:r>
        <w:t xml:space="preserve"> De lastige middencategorie — functionele waarde blijft, technische schuld stapelt op. Dit is precies het soort geval waar deel 23 (migratie) een concreet antwoord op geeft.</w:t>
      </w:r>
    </w:p>
    <w:p>
      <w:pPr>
        <w:spacing w:before="80" w:after="80"/>
        <w:pBdr>
          <w:bottom w:val="single" w:sz="6" w:color="E9A13B"/>
        </w:pBdr>
      </w:pPr>
    </w:p>
    <w:p>
      <w:pPr>
        <w:pStyle w:val="Heading2"/>
      </w:pPr>
      <w:r>
        <w:rPr>
          <w:color w:val="14213D"/>
        </w:rPr>
        <w:t>Baan A — OutSystems 11</w:t>
      </w:r>
    </w:p>
    <w:p>
      <w:pPr>
        <w:pStyle w:val="Heading3"/>
      </w:pPr>
      <w:r>
        <w:rPr>
          <w:color w:val="2563A8"/>
        </w:rPr>
        <w:t>Opdracht 22.A — Portfolio-inventarisatie via LifeTime</w:t>
      </w:r>
    </w:p>
    <w:p>
      <w:r>
        <w:t>Maak in LifeTime een overzicht van alle O11-modules in het (opleidings)landschap: laatste publicatiedatum, geschat gebruiksvolume (indien beschikbaar), en aantal afhankelijke modules. Categoriseer elke module volgens 22.1.</w:t>
      </w:r>
    </w:p>
    <w:p>
      <w:pPr>
        <w:pStyle w:val="Heading3"/>
      </w:pPr>
      <w:r>
        <w:rPr>
          <w:color w:val="2563A8"/>
        </w:rPr>
        <w:t>Uitwerking 22.A</w:t>
      </w:r>
    </w:p>
    <w:p>
      <w:r>
        <w:t>LifeTime biedt publicatiegeschiedenis en een afhankelijkheidsoverzicht, maar meestal geen ingebouwde gebruiksvolumemetriek — die moet vaak apart worden opgehaald (bijvoorbeeld via applicatielogs of een aparte monitoring-oplossing). Dit is zelf al een leermoment: portfoliobeslissingen vragen soms data die het platform niet direct biedt, en de tech lead moet weten welke aanvullende bronnen nodig zijn.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22.B — Portfolio-inventarisatie via de ODC Portal</w:t>
      </w:r>
    </w:p>
    <w:p>
      <w:r>
        <w:t>Herhaal Opdracht 22.A voor de ODC-modules in het landschap via de Portal. Vergelijk welke gegevens hier wél direct beschikbaar zijn ten opzichte van LifeTime.</w:t>
      </w:r>
    </w:p>
    <w:p>
      <w:pPr>
        <w:pStyle w:val="Heading3"/>
      </w:pPr>
      <w:r>
        <w:rPr>
          <w:color w:val="2563A8"/>
        </w:rPr>
        <w:t>Uitwerking 22.B</w:t>
      </w:r>
    </w:p>
    <w:p>
      <w:r>
        <w:t>De Portal biedt doorgaans meer geïntegreerde gebruiksmetrieken naast de publicatiegeschiedenis, consistent met de bredere observability-integratie die in eerdere delen (2, 14, 19) al zichtbaar was. Herkenningspunt: dit is opnieuw geen conceptueel verschil, maar een verschil in hoeveel aanvullend werk nodig is om tot hetzelfde inzicht te komen.</w:t>
      </w:r>
    </w:p>
    <w:p>
      <w:pPr>
        <w:spacing w:before="80" w:after="80"/>
        <w:pBdr>
          <w:bottom w:val="single" w:sz="6" w:color="E9A13B"/>
        </w:pBdr>
      </w:pPr>
    </w:p>
    <w:p>
      <w:pPr>
        <w:pStyle w:val="Heading2"/>
      </w:pPr>
      <w:r>
        <w:rPr>
          <w:color w:val="14213D"/>
        </w:rPr>
        <w:t>Reflectieopdracht 22.2 (beide banen gezamenlijk)</w:t>
      </w:r>
    </w:p>
    <w:p>
      <w:r>
        <w:t>Waarom is het geen goed idee om portfoliobeslissingen (uitfaseren, migreren) volledig bij individuele ontwikkelteams te laten liggen, in plaats van bij een Architecture Board?</w:t>
      </w:r>
    </w:p>
    <w:p>
      <w:pPr>
        <w:pStyle w:val="Heading3"/>
      </w:pPr>
      <w:r>
        <w:rPr>
          <w:color w:val="2563A8"/>
        </w:rPr>
        <w:t>Uitwerking 22.2</w:t>
      </w:r>
    </w:p>
    <w:p>
      <w:r>
        <w:t>Een individueel team overziet primair de eigen module en heeft beperkt zicht op de bredere afhankelijkheden, kosten en strategische prioriteiten van het hele portfolio — een team zou bijvoorbeeld geneigd kunnen zijn de eigen module te behouden ("het werkt toch") zonder de portfoliobrede onderhoudslast mee te wegen, of juist te snel te willen migreren zonder de impact op afhankelijke modules te overzien. Een Architecture Board met bredere vertegenwoordiging (IT, business, compliance) kan die afweging maken vanuit het geheel, terwijl de tech lead — met gedetailleerde technische kennis van de specifieke situatie — de opties en risico's voorbereidt die het board nodig heeft om een geïnformeerd besluit te nemen. Dit is dezelfde rolgrens die in de EA- en SA-cursus terugkeert: wie de feiten en opties levert, is niet automatisch wie het besluit neemt.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