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Docentenhandleiding Deel 23 — Migratie O11 → ODC (2 dagdelen)</w:t>
      </w:r>
    </w:p>
    <w:p>
      <w:r>
        <w:rPr>
          <w:b/>
        </w:rPr>
        <w:t>Duur:</w:t>
      </w:r>
      <w:r>
        <w:t xml:space="preserve"> 2 dagdelen (± 6 uur totaal) — dit deel is zelfstandig aanbiedbaar, los van de rest van de cursus, als losse migratiemodule</w:t>
      </w:r>
    </w:p>
    <w:p>
      <w:r>
        <w:rPr>
          <w:b/>
        </w:rPr>
        <w:t>Vereiste voorkennis:</w:t>
      </w:r>
      <w:r>
        <w:t xml:space="preserve"> Voor het volledige cursusverband: deel 8, 16, 18, 20, 22. Zelfstandig: een korte introductie van deze vijf onderwerpen (30 min) volstaat als opfrisser.</w:t>
      </w:r>
    </w:p>
    <w:p>
      <w:r>
        <w:rPr>
          <w:b/>
        </w:rPr>
        <w:t>Materialen:</w:t>
      </w:r>
      <w:r>
        <w:t xml:space="preserve"> Reader, Werkboek, Slidedeck, LifeTime- en ODC Portal-toegang</w:t>
      </w:r>
    </w:p>
    <w:p>
      <w:pPr>
        <w:pStyle w:val="Heading2"/>
      </w:pPr>
      <w:r>
        <w:rPr>
          <w:color w:val="14213D"/>
        </w:rPr>
        <w:t>Lesdoelen</w:t>
      </w:r>
    </w:p>
    <w:p>
      <w:pPr>
        <w:pStyle w:val="ListNumber"/>
      </w:pPr>
      <w:r>
        <w:t>Een beslismodel toepassen om te bepalen of migratie voor een specifieke module gerechtvaardigd is</w:t>
      </w:r>
    </w:p>
    <w:p>
      <w:pPr>
        <w:pStyle w:val="ListNumber"/>
      </w:pPr>
      <w:r>
        <w:t>De vier concrete technische obstakels (gebruikersbeheer, BPT, legacy-integraties, databasetoegang) herkennen en inschatten</w:t>
      </w:r>
    </w:p>
    <w:p>
      <w:pPr>
        <w:pStyle w:val="ListNumber"/>
      </w:pPr>
      <w:r>
        <w:t>Coëxistentie presenteren als blijvend architectonisch gegeven, niet als tijdelijke tussenfase</w:t>
      </w:r>
    </w:p>
    <w:p>
      <w:pPr>
        <w:pStyle w:val="Heading2"/>
      </w:pPr>
      <w:r>
        <w:rPr>
          <w:color w:val="14213D"/>
        </w:rPr>
        <w:t>Tijdsindeling Dagdeel A</w:t>
      </w:r>
    </w:p>
    <w:tbl>
      <w:tblPr>
        <w:tblStyle w:val="LightGrid-Accent1"/>
        <w:tblW w:type="auto" w:w="0"/>
        <w:tblLook w:firstColumn="1" w:firstRow="1" w:lastColumn="0" w:lastRow="0" w:noHBand="0" w:noVBand="1" w:val="04A0"/>
      </w:tblPr>
      <w:tblGrid>
        <w:gridCol w:w="4320"/>
        <w:gridCol w:w="4320"/>
      </w:tblGrid>
      <w:tr>
        <w:tc>
          <w:tcPr>
            <w:tcW w:type="dxa" w:w="4320"/>
          </w:tcPr>
          <w:p>
            <w:r>
              <w:rPr>
                <w:b/>
              </w:rPr>
              <w:t>Tijd</w:t>
            </w:r>
          </w:p>
        </w:tc>
        <w:tc>
          <w:tcPr>
            <w:tcW w:type="dxa" w:w="4320"/>
          </w:tcPr>
          <w:p>
            <w:r>
              <w:rPr>
                <w:b/>
              </w:rPr>
              <w:t>Onderdeel</w:t>
            </w:r>
          </w:p>
        </w:tc>
      </w:tr>
      <w:tr>
        <w:tc>
          <w:tcPr>
            <w:tcW w:type="dxa" w:w="4320"/>
          </w:tcPr>
          <w:p>
            <w:r>
              <w:t>0:00–0:20</w:t>
            </w:r>
          </w:p>
        </w:tc>
        <w:tc>
          <w:tcPr>
            <w:tcW w:type="dxa" w:w="4320"/>
          </w:tcPr>
          <w:p>
            <w:r>
              <w:t>Intro migratiemodule (of, indien los aangeboden: opfrisser van deel 8/16/18/20/22)</w:t>
            </w:r>
          </w:p>
        </w:tc>
      </w:tr>
      <w:tr>
        <w:tc>
          <w:tcPr>
            <w:tcW w:type="dxa" w:w="4320"/>
          </w:tcPr>
          <w:p>
            <w:r>
              <w:t>0:20–0:50</w:t>
            </w:r>
          </w:p>
        </w:tc>
        <w:tc>
          <w:tcPr>
            <w:tcW w:type="dxa" w:w="4320"/>
          </w:tcPr>
          <w:p>
            <w:r>
              <w:t>Reader 23.1–23.3, discussie "migratie is geen doel op zich"</w:t>
            </w:r>
          </w:p>
        </w:tc>
      </w:tr>
      <w:tr>
        <w:tc>
          <w:tcPr>
            <w:tcW w:type="dxa" w:w="4320"/>
          </w:tcPr>
          <w:p>
            <w:r>
              <w:t>0:50–1:15</w:t>
            </w:r>
          </w:p>
        </w:tc>
        <w:tc>
          <w:tcPr>
            <w:tcW w:type="dxa" w:w="4320"/>
          </w:tcPr>
          <w:p>
            <w:r>
              <w:t>Opdracht 23.1, nabespreking</w:t>
            </w:r>
          </w:p>
        </w:tc>
      </w:tr>
      <w:tr>
        <w:tc>
          <w:tcPr>
            <w:tcW w:type="dxa" w:w="4320"/>
          </w:tcPr>
          <w:p>
            <w:r>
              <w:t>1:15–1:30</w:t>
            </w:r>
          </w:p>
        </w:tc>
        <w:tc>
          <w:tcPr>
            <w:tcW w:type="dxa" w:w="4320"/>
          </w:tcPr>
          <w:p>
            <w:r>
              <w:t>Pauze</w:t>
            </w:r>
          </w:p>
        </w:tc>
      </w:tr>
      <w:tr>
        <w:tc>
          <w:tcPr>
            <w:tcW w:type="dxa" w:w="4320"/>
          </w:tcPr>
          <w:p>
            <w:r>
              <w:t>1:30–2:30</w:t>
            </w:r>
          </w:p>
        </w:tc>
        <w:tc>
          <w:tcPr>
            <w:tcW w:type="dxa" w:w="4320"/>
          </w:tcPr>
          <w:p>
            <w:r>
              <w:t>Opdracht 23.A: adviesdocument opstellen</w:t>
            </w:r>
          </w:p>
        </w:tc>
      </w:tr>
      <w:tr>
        <w:tc>
          <w:tcPr>
            <w:tcW w:type="dxa" w:w="4320"/>
          </w:tcPr>
          <w:p>
            <w:r>
              <w:t>2:30–3:00</w:t>
            </w:r>
          </w:p>
        </w:tc>
        <w:tc>
          <w:tcPr>
            <w:tcW w:type="dxa" w:w="4320"/>
          </w:tcPr>
          <w:p>
            <w:r>
              <w:t>Nabespreking adviesdocumenten, vooruitblik dagdeel B</w:t>
            </w:r>
          </w:p>
        </w:tc>
      </w:tr>
    </w:tbl>
    <w:p/>
    <w:p>
      <w:pPr>
        <w:pStyle w:val="Heading2"/>
      </w:pPr>
      <w:r>
        <w:rPr>
          <w:color w:val="14213D"/>
        </w:rPr>
        <w:t>Tijdsindeling Dagdeel B</w:t>
      </w:r>
    </w:p>
    <w:tbl>
      <w:tblPr>
        <w:tblStyle w:val="LightGrid-Accent1"/>
        <w:tblW w:type="auto" w:w="0"/>
        <w:tblLook w:firstColumn="1" w:firstRow="1" w:lastColumn="0" w:lastRow="0" w:noHBand="0" w:noVBand="1" w:val="04A0"/>
      </w:tblPr>
      <w:tblGrid>
        <w:gridCol w:w="4320"/>
        <w:gridCol w:w="4320"/>
      </w:tblGrid>
      <w:tr>
        <w:tc>
          <w:tcPr>
            <w:tcW w:type="dxa" w:w="4320"/>
          </w:tcPr>
          <w:p>
            <w:r>
              <w:rPr>
                <w:b/>
              </w:rPr>
              <w:t>Tijd</w:t>
            </w:r>
          </w:p>
        </w:tc>
        <w:tc>
          <w:tcPr>
            <w:tcW w:type="dxa" w:w="4320"/>
          </w:tcPr>
          <w:p>
            <w:r>
              <w:rPr>
                <w:b/>
              </w:rPr>
              <w:t>Onderdeel</w:t>
            </w:r>
          </w:p>
        </w:tc>
      </w:tr>
      <w:tr>
        <w:tc>
          <w:tcPr>
            <w:tcW w:type="dxa" w:w="4320"/>
          </w:tcPr>
          <w:p>
            <w:r>
              <w:t>0:00–0:15</w:t>
            </w:r>
          </w:p>
        </w:tc>
        <w:tc>
          <w:tcPr>
            <w:tcW w:type="dxa" w:w="4320"/>
          </w:tcPr>
          <w:p>
            <w:r>
              <w:t>Terugblik dagdeel A</w:t>
            </w:r>
          </w:p>
        </w:tc>
      </w:tr>
      <w:tr>
        <w:tc>
          <w:tcPr>
            <w:tcW w:type="dxa" w:w="4320"/>
          </w:tcPr>
          <w:p>
            <w:r>
              <w:t>0:15–0:45</w:t>
            </w:r>
          </w:p>
        </w:tc>
        <w:tc>
          <w:tcPr>
            <w:tcW w:type="dxa" w:w="4320"/>
          </w:tcPr>
          <w:p>
            <w:r>
              <w:t>Reader 23.4–23.5, opdracht 23.2, nabespreking</w:t>
            </w:r>
          </w:p>
        </w:tc>
      </w:tr>
      <w:tr>
        <w:tc>
          <w:tcPr>
            <w:tcW w:type="dxa" w:w="4320"/>
          </w:tcPr>
          <w:p>
            <w:r>
              <w:t>0:45–1:15</w:t>
            </w:r>
          </w:p>
        </w:tc>
        <w:tc>
          <w:tcPr>
            <w:tcW w:type="dxa" w:w="4320"/>
          </w:tcPr>
          <w:p>
            <w:r>
              <w:t>Pauze (vervroegd i.v.m. samenhang met vervolgoefening)</w:t>
            </w:r>
          </w:p>
        </w:tc>
      </w:tr>
      <w:tr>
        <w:tc>
          <w:tcPr>
            <w:tcW w:type="dxa" w:w="4320"/>
          </w:tcPr>
          <w:p>
            <w:r>
              <w:t>1:15–2:15</w:t>
            </w:r>
          </w:p>
        </w:tc>
        <w:tc>
          <w:tcPr>
            <w:tcW w:type="dxa" w:w="4320"/>
          </w:tcPr>
          <w:p>
            <w:r>
              <w:t>Opdracht 23.B: migratie-checklist toepassen</w:t>
            </w:r>
          </w:p>
        </w:tc>
      </w:tr>
      <w:tr>
        <w:tc>
          <w:tcPr>
            <w:tcW w:type="dxa" w:w="4320"/>
          </w:tcPr>
          <w:p>
            <w:r>
              <w:t>2:15–2:45</w:t>
            </w:r>
          </w:p>
        </w:tc>
        <w:tc>
          <w:tcPr>
            <w:tcW w:type="dxa" w:w="4320"/>
          </w:tcPr>
          <w:p>
            <w:r>
              <w:t>Reader 23.6, reflectieopdracht 23.3</w:t>
            </w:r>
          </w:p>
        </w:tc>
      </w:tr>
      <w:tr>
        <w:tc>
          <w:tcPr>
            <w:tcW w:type="dxa" w:w="4320"/>
          </w:tcPr>
          <w:p>
            <w:r>
              <w:t>2:45–3:00</w:t>
            </w:r>
          </w:p>
        </w:tc>
        <w:tc>
          <w:tcPr>
            <w:tcW w:type="dxa" w:w="4320"/>
          </w:tcPr>
          <w:p>
            <w:r>
              <w:t>Vooruitblik deel 24 (multi-team, conventiedocument)</w:t>
            </w:r>
          </w:p>
        </w:tc>
      </w:tr>
    </w:tbl>
    <w:p/>
    <w:p>
      <w:pPr>
        <w:pStyle w:val="Heading2"/>
      </w:pPr>
      <w:r>
        <w:rPr>
          <w:color w:val="14213D"/>
        </w:rPr>
        <w:t>Didactische aandachtspunten</w:t>
      </w:r>
    </w:p>
    <w:p>
      <w:r>
        <w:rPr>
          <w:b/>
        </w:rPr>
        <w:t>Dit is commercieel het aantrekkelijkste deel van de hele cursus — behandel het met evenredige zorgvuldigheid, ook als het los wordt aangeboden aan klanten die niet de volledige cursus volgen.</w:t>
      </w:r>
      <w:r>
        <w:t xml:space="preserve"> Zorg dat de opfrisser aan het begin van dagdeel A (voor losse deelnemers) daadwerkelijk voldoende is om de vier obstakels te kunnen volgen — een te beknopte opfrisser ondermijnt de kwaliteit van dit deel voor die doelgroep.</w:t>
      </w:r>
    </w:p>
    <w:p>
      <w:r>
        <w:rPr>
          <w:b/>
        </w:rPr>
        <w:t>Opdracht 23.1c (veel technische schuld, overweeg herbouw in plaats van migratie) is een tegendraads maar belangrijk punt — benadruk het expliciet.</w:t>
      </w:r>
      <w:r>
        <w:t xml:space="preserve"> Deelnemers verwachten soms dat "migreren" altijd de veiligere keuze is dan "herbouwen"; corrigeer dit aanname met het concrete argument dat migratie van een slecht ontworpen module de slechte eigenschappen vaak gewoon meeneemt.</w:t>
      </w:r>
    </w:p>
    <w:p>
      <w:r>
        <w:rPr>
          <w:b/>
        </w:rPr>
        <w:t>De vier obstakels in Opdracht 23.B zijn bewust een optelsom, niet een gemiddelde — bewaak dat deelnemers dit begrijpen.</w:t>
      </w:r>
      <w:r>
        <w:t xml:space="preserve"> Eén zwaar obstakel (BPT) maakt een migratie al substantieel, ook als de andere drie licht zijn. Vermijd dat deelnemers de scores simpelweg optellen of middelen tot een enkel getal — het gaat om een genuanceerd beeld, geen formule.</w:t>
      </w:r>
    </w:p>
    <w:p>
      <w:pPr>
        <w:pStyle w:val="Heading2"/>
      </w:pPr>
      <w:r>
        <w:rPr>
          <w:color w:val="14213D"/>
        </w:rPr>
        <w:t>Veelgestelde vragen</w:t>
      </w:r>
    </w:p>
    <w:p>
      <w:r>
        <w:rPr>
          <w:b/>
        </w:rPr>
        <w:t>"Is er een vuistgetal voor hoeveel tijd een BPT-migratie kost?"</w:t>
      </w:r>
    </w:p>
    <w:p>
      <w:r>
        <w:t>Nee, bewust geen vast getal — dit hangt te sterk af van de complexiteit van het specifieke proces. Adviseer een technische spike (korte, tijdgebonden verkenning) als eerste stap om een realistische inschatting te krijgen, in plaats van een generieke vuistregel te presenteren die misleidend zou kunnen zijn.</w:t>
      </w:r>
    </w:p>
    <w:p>
      <w:r>
        <w:rPr>
          <w:b/>
        </w:rPr>
        <w:t>"Wat als het Architecture Board het advies van de tech lead niet volgt?"</w:t>
      </w:r>
    </w:p>
    <w:p>
      <w:r>
        <w:t>Dat is hun mandaat (deel 22) — de tech lead levert het best mogelijke advies, het besluit blijft bij het board. Dit sluit aan bij de rolgrens die door de hele cursusfamilie (EA-, SA-cursus) heen consistent wordt gehanteerd.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