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4213D"/>
        </w:rPr>
        <w:t>Werkboek Deel 23 — Migratie O11 → ODC (2 dagdelen)</w:t>
      </w:r>
    </w:p>
    <w:p>
      <w:pPr>
        <w:spacing w:before="80" w:after="80"/>
        <w:pBdr>
          <w:bottom w:val="single" w:sz="6" w:color="E9A13B"/>
        </w:pBdr>
      </w:pPr>
    </w:p>
    <w:p>
      <w:pPr>
        <w:pStyle w:val="Heading2"/>
      </w:pPr>
      <w:r>
        <w:rPr>
          <w:color w:val="14213D"/>
        </w:rPr>
        <w:t>Dagdeel A</w:t>
      </w:r>
    </w:p>
    <w:p>
      <w:pPr>
        <w:pStyle w:val="Heading3"/>
      </w:pPr>
      <w:r>
        <w:rPr>
          <w:color w:val="2563A8"/>
        </w:rPr>
        <w:t>Opdracht 23.1 — Migreren of niet? (beide banen gezamenlijk)</w:t>
      </w:r>
    </w:p>
    <w:p>
      <w:r>
        <w:t>Beoordeel per satelliet of migratie op dit moment gerechtvaardigd is, met het beslismodel uit reader 23.3.</w:t>
      </w:r>
    </w:p>
    <w:p>
      <w:r>
        <w:rPr>
          <w:b/>
        </w:rPr>
        <w:t>a.</w:t>
      </w:r>
      <w:r>
        <w:t xml:space="preserve"> Een rapportagetool met vijf gebruikers per maand, stabiel, geen wijzigingsverzoeken in twee jaar, geen BPT.</w:t>
      </w:r>
    </w:p>
    <w:p>
      <w:r>
        <w:rPr>
          <w:b/>
        </w:rPr>
        <w:t>b.</w:t>
      </w:r>
      <w:r>
        <w:t xml:space="preserve"> Een goedkeuringsflow met een BPT-proces, dagelijks intensief gebruikt, met drie openstaande wijzigingsverzoeken.</w:t>
      </w:r>
    </w:p>
    <w:p>
      <w:r>
        <w:rPr>
          <w:b/>
        </w:rPr>
        <w:t>c.</w:t>
      </w:r>
      <w:r>
        <w:t xml:space="preserve"> Een geïsoleerde, kleine module zonder BPT en zonder afhankelijkheden, maar met veel technische schuld (verouderde code, geen tests).</w:t>
      </w:r>
    </w:p>
    <w:p>
      <w:pPr>
        <w:pStyle w:val="Heading4"/>
      </w:pPr>
      <w:r>
        <w:rPr>
          <w:color w:val="2563A8"/>
        </w:rPr>
        <w:t>Uitwerking 23.1</w:t>
      </w:r>
    </w:p>
    <w:p>
      <w:r>
        <w:rPr>
          <w:b/>
        </w:rPr>
        <w:t>a.</w:t>
      </w:r>
      <w:r>
        <w:t xml:space="preserve"> Niet migreren — lage waarde, geen actieve doorontwikkeling, geen dwingende reden.</w:t>
      </w:r>
    </w:p>
    <w:p>
      <w:r>
        <w:rPr>
          <w:b/>
        </w:rPr>
        <w:t>b.</w:t>
      </w:r>
      <w:r>
        <w:t xml:space="preserve"> Zwaarwegend geval — hoog gebruik en actieve doorontwikkeling pleiten vóór migratie, maar het BPT-proces maakt het een substantieel project; eerst een gedetailleerde kosten-baten-analyse nodig, geen automatisch ja of nee.</w:t>
      </w:r>
    </w:p>
    <w:p>
      <w:r>
        <w:rPr>
          <w:b/>
        </w:rPr>
        <w:t>c.</w:t>
      </w:r>
      <w:r>
        <w:t xml:space="preserve"> Overweeg herbouw in plaats van migratie — bij veel technische schuld en een geïsoleerde, kleine omvang is opnieuw ontwerpen vaak goedkoper dan het bestaande, verouderde geheel over te zetten.</w:t>
      </w:r>
    </w:p>
    <w:p>
      <w:pPr>
        <w:pStyle w:val="Heading3"/>
      </w:pPr>
      <w:r>
        <w:rPr>
          <w:color w:val="2563A8"/>
        </w:rPr>
        <w:t>Baan A &amp; B (gezamenlijk) — Opdracht 23.A: Portfoliobeslissing voorbereiden</w:t>
      </w:r>
    </w:p>
    <w:p>
      <w:r>
        <w:t>Stel voor een van de drie satellieten uit Opdracht 23.1 een beknopt adviesdocument op (max. één A4) voor het Architecture Board (deel 22): aanbeveling, onderbouwing, en geschatte impact.</w:t>
      </w:r>
    </w:p>
    <w:p>
      <w:pPr>
        <w:pStyle w:val="Heading4"/>
      </w:pPr>
      <w:r>
        <w:rPr>
          <w:color w:val="2563A8"/>
        </w:rPr>
        <w:t>Uitwerking 23.A</w:t>
      </w:r>
    </w:p>
    <w:p>
      <w:r>
        <w:t>Een sterk adviesdocument benoemt expliciet de drie vragen uit het beslismodel, onderbouwt de aanbeveling met concrete argumenten (niet alleen "het lijkt me beter"), en erkent onzekerheden in plaats van ze te verdoezelen — bijvoorbeeld: "de exacte omvang van het BPT-herontwerp is nog niet vastgesteld, een technische spike van twee weken wordt aanbevolen voordat een definitief besluit valt." Dit sluit aan bij de rolgrens uit deel 22: opties en risico's helder maken, niet het besluit zelf claimen.</w:t>
      </w:r>
    </w:p>
    <w:p>
      <w:pPr>
        <w:spacing w:before="80" w:after="80"/>
        <w:pBdr>
          <w:bottom w:val="single" w:sz="6" w:color="E9A13B"/>
        </w:pBdr>
      </w:pPr>
    </w:p>
    <w:p>
      <w:pPr>
        <w:pStyle w:val="Heading2"/>
      </w:pPr>
      <w:r>
        <w:rPr>
          <w:color w:val="14213D"/>
        </w:rPr>
        <w:t>Dagdeel B</w:t>
      </w:r>
    </w:p>
    <w:p>
      <w:pPr>
        <w:pStyle w:val="Heading3"/>
      </w:pPr>
      <w:r>
        <w:rPr>
          <w:color w:val="2563A8"/>
        </w:rPr>
        <w:t>Opdracht 23.2 — Welk obstakel speelt hier? (beide banen gezamenlijk)</w:t>
      </w:r>
    </w:p>
    <w:p>
      <w:r>
        <w:rPr>
          <w:b/>
        </w:rPr>
        <w:t>a.</w:t>
      </w:r>
      <w:r>
        <w:t xml:space="preserve"> Een satelliet gebruikt IT Users; de organisatie wil overstappen naar organisatiebrede SSO.</w:t>
      </w:r>
    </w:p>
    <w:p>
      <w:r>
        <w:rPr>
          <w:b/>
        </w:rPr>
        <w:t>b.</w:t>
      </w:r>
      <w:r>
        <w:t xml:space="preserve"> Een satelliet heeft een goedkeuringsflow gebouwd met BPT.</w:t>
      </w:r>
    </w:p>
    <w:p>
      <w:r>
        <w:rPr>
          <w:b/>
        </w:rPr>
        <w:t>c.</w:t>
      </w:r>
      <w:r>
        <w:t xml:space="preserve"> Een satelliet raadpleegt rechtstreeks een externe database voor rapportagedoeleinden, buiten het OutSystems-datamodel om.</w:t>
      </w:r>
    </w:p>
    <w:p>
      <w:pPr>
        <w:pStyle w:val="Heading4"/>
      </w:pPr>
      <w:r>
        <w:rPr>
          <w:color w:val="2563A8"/>
        </w:rPr>
        <w:t>Uitwerking 23.2</w:t>
      </w:r>
    </w:p>
    <w:p>
      <w:r>
        <w:rPr>
          <w:b/>
        </w:rPr>
        <w:t>a.</w:t>
      </w:r>
      <w:r>
        <w:t xml:space="preserve"> Gebruikersbeheer-obstakel (deel 8) — elke gebruiker en rol moet bewust worden overgezet naar de IAM-structuur.</w:t>
      </w:r>
    </w:p>
    <w:p>
      <w:r>
        <w:rPr>
          <w:b/>
        </w:rPr>
        <w:t>b.</w:t>
      </w:r>
      <w:r>
        <w:t xml:space="preserve"> BPT-obstakel (deel 18) — vereist herontwerp als statusmachine, geen automatische conversie.</w:t>
      </w:r>
    </w:p>
    <w:p>
      <w:r>
        <w:rPr>
          <w:b/>
        </w:rPr>
        <w:t>c.</w:t>
      </w:r>
      <w:r>
        <w:t xml:space="preserve"> Directe-databasetoegang-obstakel (deel 3, 13) — moet worden herzien naar de entity-laag of een expliciet API-koppelvlak.</w:t>
      </w:r>
    </w:p>
    <w:p>
      <w:pPr>
        <w:pStyle w:val="Heading3"/>
      </w:pPr>
      <w:r>
        <w:rPr>
          <w:color w:val="2563A8"/>
        </w:rPr>
        <w:t>Baan A &amp; B (gezamenlijk) — Opdracht 23.B: Migratie-checklist toepassen</w:t>
      </w:r>
    </w:p>
    <w:p>
      <w:r>
        <w:t>Neem de goedkeuringsflow-satelliet uit Opdracht 23.1b en stel een concrete migratie-checklist op met alle vier obstakels uit reader 23.4, elk met een korte inschatting van de impact (laag/middel/hoog).</w:t>
      </w:r>
    </w:p>
    <w:p>
      <w:pPr>
        <w:pStyle w:val="Heading4"/>
      </w:pPr>
      <w:r>
        <w:rPr>
          <w:color w:val="2563A8"/>
        </w:rPr>
        <w:t>Uitwerking 23.B</w:t>
      </w:r>
    </w:p>
    <w:p>
      <w:r>
        <w:t>Voor deze specifieke satelliet: gebruikersbeheer (middel — afhankelijk van het aantal gebruikers en of SSO al elders is ingericht), BPT (hoog — kern van de module, substantieel herontwerp), legacy-integraties (afhankelijk van de specifieke satelliet — mogelijk niet van toepassing als er geen legacy-koppeling is), directe databasetoegang (laag tot middel, te verifiëren). Het punt van deze oefening is niet de exacte scores, maar het zichtbaar maken dat "migratie" geen enkelvoudige inspanning is — het is een optelsom van vier, potentieel zeer verschillend zware deelproblemen.</w:t>
      </w:r>
    </w:p>
    <w:p>
      <w:pPr>
        <w:pStyle w:val="Heading3"/>
      </w:pPr>
      <w:r>
        <w:rPr>
          <w:color w:val="2563A8"/>
        </w:rPr>
        <w:t>Reflectieopdracht 23.3 (beide banen gezamenlijk)</w:t>
      </w:r>
    </w:p>
    <w:p>
      <w:r>
        <w:t>Waarom is het een risico om coëxistentie te presenteren als "tijdelijke overgangsfase" tegenover het management, in plaats van als blijvend architectonisch gegeven?</w:t>
      </w:r>
    </w:p>
    <w:p>
      <w:pPr>
        <w:pStyle w:val="Heading4"/>
      </w:pPr>
      <w:r>
        <w:rPr>
          <w:color w:val="2563A8"/>
        </w:rPr>
        <w:t>Uitwerking 23.3</w:t>
      </w:r>
    </w:p>
    <w:p>
      <w:r>
        <w:t>Als coëxistentie wordt gepresenteerd als tijdelijk, ontstaat het risico dat investeringen in de kwaliteit van de coëxistentielaag zelf (zoals de API-wrappers uit deel 16, of een gecombineerd portfolio-overzicht uit deel 22) als overbodig worden gezien — "waarom hierin investeren, het is toch tijdelijk" — terwijl die laag in de praktijk jarenlang, mogelijk permanent, in gebruik blijft zolang legacy-systemen of niet-gerechtvaardigde migraties bestaan. Een eerlijke presentatie als blijvend gegeven rechtvaardigt structurele investering in de kwaliteit van die coëxistentie, in plaats van een fragiele, "tijdelijke" oplossing die nooit de aandacht krijgt die een permanente voorziening verdient.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