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4213D"/>
        </w:rPr>
        <w:t>Docentenhandleiding Deel 24 — Multi-team en het conventiedocument</w:t>
      </w:r>
    </w:p>
    <w:p>
      <w:r>
        <w:rPr>
          <w:b/>
        </w:rPr>
        <w:t>Duur:</w:t>
      </w:r>
      <w:r>
        <w:t xml:space="preserve"> 1 dagdeel (± 3 uur)</w:t>
      </w:r>
    </w:p>
    <w:p>
      <w:r>
        <w:rPr>
          <w:b/>
        </w:rPr>
        <w:t>Vereiste voorkennis:</w:t>
      </w:r>
      <w:r>
        <w:t xml:space="preserve"> Deel 11-13, deel 19, deel 22</w:t>
      </w:r>
    </w:p>
    <w:p>
      <w:r>
        <w:rPr>
          <w:b/>
        </w:rPr>
        <w:t>Materialen:</w:t>
      </w:r>
      <w:r>
        <w:t xml:space="preserve"> Reader, Werkboek, Slidedeck</w:t>
      </w:r>
    </w:p>
    <w:p>
      <w:pPr>
        <w:pStyle w:val="Heading2"/>
      </w:pPr>
      <w:r>
        <w:rPr>
          <w:color w:val="14213D"/>
        </w:rPr>
        <w:t>Lesdoelen</w:t>
      </w:r>
    </w:p>
    <w:p>
      <w:pPr>
        <w:pStyle w:val="ListNumber"/>
      </w:pPr>
      <w:r>
        <w:t>Onderscheiden wat wel en niet in een conventiedocument hoort</w:t>
      </w:r>
    </w:p>
    <w:p>
      <w:pPr>
        <w:pStyle w:val="ListNumber"/>
      </w:pPr>
      <w:r>
        <w:t>Een conventiedocument opstellen dat de grens tussen teams regelt, niet de interne werkwijze</w:t>
      </w:r>
    </w:p>
    <w:p>
      <w:pPr>
        <w:pStyle w:val="ListNumber"/>
      </w:pPr>
      <w:r>
        <w:t>Naamgeving en processen consistent houden waar mogelijk, platformspecifiek waar nodig</w:t>
      </w:r>
    </w:p>
    <w:p>
      <w:pPr>
        <w:pStyle w:val="Heading2"/>
      </w:pPr>
      <w:r>
        <w:rPr>
          <w:color w:val="14213D"/>
        </w:rPr>
        <w:t>Tijdsindeling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Tijd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Onderdeel</w:t>
            </w:r>
          </w:p>
        </w:tc>
      </w:tr>
      <w:tr>
        <w:tc>
          <w:tcPr>
            <w:tcW w:type="dxa" w:w="4320"/>
          </w:tcPr>
          <w:p>
            <w:r>
              <w:t>0:00–0:15</w:t>
            </w:r>
          </w:p>
        </w:tc>
        <w:tc>
          <w:tcPr>
            <w:tcW w:type="dxa" w:w="4320"/>
          </w:tcPr>
          <w:p>
            <w:r>
              <w:t>Terugblik deel 22-23, intro multi-team</w:t>
            </w:r>
          </w:p>
        </w:tc>
      </w:tr>
      <w:tr>
        <w:tc>
          <w:tcPr>
            <w:tcW w:type="dxa" w:w="4320"/>
          </w:tcPr>
          <w:p>
            <w:r>
              <w:t>0:15–0:45</w:t>
            </w:r>
          </w:p>
        </w:tc>
        <w:tc>
          <w:tcPr>
            <w:tcW w:type="dxa" w:w="4320"/>
          </w:tcPr>
          <w:p>
            <w:r>
              <w:t>Reader 24.1–24.3, discussie wel/niet in het document</w:t>
            </w:r>
          </w:p>
        </w:tc>
      </w:tr>
      <w:tr>
        <w:tc>
          <w:tcPr>
            <w:tcW w:type="dxa" w:w="4320"/>
          </w:tcPr>
          <w:p>
            <w:r>
              <w:t>0:45–1:15</w:t>
            </w:r>
          </w:p>
        </w:tc>
        <w:tc>
          <w:tcPr>
            <w:tcW w:type="dxa" w:w="4320"/>
          </w:tcPr>
          <w:p>
            <w:r>
              <w:t>Opdracht 24.1, nabespreking</w:t>
            </w:r>
          </w:p>
        </w:tc>
      </w:tr>
      <w:tr>
        <w:tc>
          <w:tcPr>
            <w:tcW w:type="dxa" w:w="4320"/>
          </w:tcPr>
          <w:p>
            <w:r>
              <w:t>1:15–1:30</w:t>
            </w:r>
          </w:p>
        </w:tc>
        <w:tc>
          <w:tcPr>
            <w:tcW w:type="dxa" w:w="4320"/>
          </w:tcPr>
          <w:p>
            <w:r>
              <w:t>Pauze</w:t>
            </w:r>
          </w:p>
        </w:tc>
      </w:tr>
      <w:tr>
        <w:tc>
          <w:tcPr>
            <w:tcW w:type="dxa" w:w="4320"/>
          </w:tcPr>
          <w:p>
            <w:r>
              <w:t>1:30–2:15</w:t>
            </w:r>
          </w:p>
        </w:tc>
        <w:tc>
          <w:tcPr>
            <w:tcW w:type="dxa" w:w="4320"/>
          </w:tcPr>
          <w:p>
            <w:r>
              <w:t>Baan A/B: conventiedocument opstellen</w:t>
            </w:r>
          </w:p>
        </w:tc>
      </w:tr>
      <w:tr>
        <w:tc>
          <w:tcPr>
            <w:tcW w:type="dxa" w:w="4320"/>
          </w:tcPr>
          <w:p>
            <w:r>
              <w:t>2:15–2:45</w:t>
            </w:r>
          </w:p>
        </w:tc>
        <w:tc>
          <w:tcPr>
            <w:tcW w:type="dxa" w:w="4320"/>
          </w:tcPr>
          <w:p>
            <w:r>
              <w:t>Reader 24.4, reflectieopdracht 24.2</w:t>
            </w:r>
          </w:p>
        </w:tc>
      </w:tr>
      <w:tr>
        <w:tc>
          <w:tcPr>
            <w:tcW w:type="dxa" w:w="4320"/>
          </w:tcPr>
          <w:p>
            <w:r>
              <w:t>2:45–3:00</w:t>
            </w:r>
          </w:p>
        </w:tc>
        <w:tc>
          <w:tcPr>
            <w:tcW w:type="dxa" w:w="4320"/>
          </w:tcPr>
          <w:p>
            <w:r>
              <w:t>Vooruitblik deel 25 (licentie- en kostenmodel)</w:t>
            </w:r>
          </w:p>
        </w:tc>
      </w:tr>
    </w:tbl>
    <w:p/>
    <w:p>
      <w:pPr>
        <w:pStyle w:val="Heading2"/>
      </w:pPr>
      <w:r>
        <w:rPr>
          <w:color w:val="14213D"/>
        </w:rPr>
        <w:t>Didactische aandachtspunten</w:t>
      </w:r>
    </w:p>
    <w:p>
      <w:r>
        <w:rPr>
          <w:b/>
        </w:rPr>
        <w:t>Opdracht 24.1b (de postcodevalidatie-widget) is een bewust subtiel grensgeval — bewaak dat deelnemers niet te snel "dat hoort er wel bij" concluderen.</w:t>
      </w:r>
      <w:r>
        <w:t xml:space="preserve"> De verleiding om steeds meer technische details in het conventiedocument op te nemen is groot bij deelnemers die net negentien delen technische discipline hebben geleerd; herinner ze eraan dat een overvol conventiedocument zijn doel — snel leesbaar, breed gedragen — juist ondermijnt.</w:t>
      </w:r>
    </w:p>
    <w:p>
      <w:r>
        <w:rPr>
          <w:b/>
        </w:rPr>
        <w:t>Laat de twee conventiedocument-delen (A en B) aan het einde samenkomen tot één geheel, en bespreek expliciet welke onderdelen gedeeld zijn en welke niet.</w:t>
      </w:r>
      <w:r>
        <w:t xml:space="preserve"> Dit is het tastbare bewijs van het principe uit 24.4: naamgeving gedeeld, goedkeuringsproces platformspecifiek.</w:t>
      </w:r>
    </w:p>
    <w:p>
      <w:r>
        <w:rPr>
          <w:b/>
        </w:rPr>
        <w:t>Vermijd de indruk dat het conventiedocument een eenmalige oefening in deze cursus is — benadruk dat het in de praktijk een levend document is.</w:t>
      </w:r>
      <w:r>
        <w:t xml:space="preserve"> Reflectieopdracht 24.2 bereidt hier al op voor; koppel dit expliciet aan hoe het conventiedocument er in de EA-, SA- en API-cursus (waar het concept al eerder is gezien) ook groeide gedurende de cursusloop.</w:t>
      </w:r>
    </w:p>
    <w:p>
      <w:pPr>
        <w:pStyle w:val="Heading2"/>
      </w:pPr>
      <w:r>
        <w:rPr>
          <w:color w:val="14213D"/>
        </w:rPr>
        <w:t>Veelgestelde vragen</w:t>
      </w:r>
    </w:p>
    <w:p>
      <w:r>
        <w:rPr>
          <w:b/>
        </w:rPr>
        <w:t>"Wie is uiteindelijk eigenaar van het conventiedocument zelf — mag elk team het aanpassen?"</w:t>
      </w:r>
    </w:p>
    <w:p>
      <w:r>
        <w:t>In de praktijk: de tech lead of het Architecture Board (deel 22) is eigenaar van het document, maar wijzigingsvoorstellen kunnen door elk team worden ingebracht — vergelijkbaar met hoe een RFC-proces in softwareontwikkeling vaak werkt.</w:t>
      </w:r>
    </w:p>
    <w:p>
      <w:r>
        <w:rPr>
          <w:b/>
        </w:rPr>
        <w:t>"Wat als twee teams het conventiedocument verschillend interpreteren?"</w:t>
      </w:r>
    </w:p>
    <w:p>
      <w:r>
        <w:t>Dat is precies waarom een expliciete escalatieroute (Opdracht 24.1c) in het document hoort — zonder die route wordt elke interpretatieverschil een ad-hoc conflict in plaats van een voorspelbaar, snel op te lossen proces.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