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Werkboek Deel 24 — Multi-team en het conventiedocument</w:t>
      </w:r>
    </w:p>
    <w:p>
      <w:pPr>
        <w:spacing w:before="80" w:after="80"/>
        <w:pBdr>
          <w:bottom w:val="single" w:sz="6" w:color="E9A13B"/>
        </w:pBdr>
      </w:pPr>
    </w:p>
    <w:p>
      <w:pPr>
        <w:pStyle w:val="Heading2"/>
      </w:pPr>
      <w:r>
        <w:rPr>
          <w:color w:val="14213D"/>
        </w:rPr>
        <w:t>Opdracht 24.1 — Hoort dit in het conventiedocument? (beide banen gezamenlijk)</w:t>
      </w:r>
    </w:p>
    <w:p>
      <w:r>
        <w:rPr>
          <w:b/>
        </w:rPr>
        <w:t>a.</w:t>
      </w:r>
      <w:r>
        <w:t xml:space="preserve"> De regel dat een nieuwe Core-module pas wordt aangemaakt na goedkeuring van de tech lead.</w:t>
      </w:r>
    </w:p>
    <w:p>
      <w:r>
        <w:rPr>
          <w:b/>
        </w:rPr>
        <w:t>b.</w:t>
      </w:r>
      <w:r>
        <w:t xml:space="preserve"> De specifieke keuze om in WGP 2.0 een bepaald type validatiewidget te gebruiken voor postcodevelden.</w:t>
      </w:r>
    </w:p>
    <w:p>
      <w:r>
        <w:rPr>
          <w:b/>
        </w:rPr>
        <w:t>c.</w:t>
      </w:r>
      <w:r>
        <w:t xml:space="preserve"> De escalatieroute wanneer twee teams onenigheid hebben over wie eigenaar wordt van een nieuwe, gedeelde entity.</w:t>
      </w:r>
    </w:p>
    <w:p>
      <w:pPr>
        <w:pStyle w:val="Heading3"/>
      </w:pPr>
      <w:r>
        <w:rPr>
          <w:color w:val="2563A8"/>
        </w:rPr>
        <w:t>Uitwerking 24.1</w:t>
      </w:r>
    </w:p>
    <w:p>
      <w:r>
        <w:rPr>
          <w:b/>
        </w:rPr>
        <w:t>a.</w:t>
      </w:r>
      <w:r>
        <w:t xml:space="preserve"> Hoort in het conventiedocument — regelt de grens tussen teams (wanneer mag een team een nieuwe gedeelde module starten).</w:t>
      </w:r>
    </w:p>
    <w:p>
      <w:r>
        <w:rPr>
          <w:b/>
        </w:rPr>
        <w:t>b.</w:t>
      </w:r>
      <w:r>
        <w:t xml:space="preserve"> Hoort niet in het conventiedocument — een interne, module-specifieke technische keuze zonder impact op andere teams.</w:t>
      </w:r>
    </w:p>
    <w:p>
      <w:r>
        <w:rPr>
          <w:b/>
        </w:rPr>
        <w:t>c.</w:t>
      </w:r>
      <w:r>
        <w:t xml:space="preserve"> Hoort in het conventiedocument — een expliciete escalatieroute is precies het soort grensregeling die voorkomt dat conflicten ad-hoc en inconsistent worden opgelost.</w:t>
      </w:r>
    </w:p>
    <w:p>
      <w:pPr>
        <w:spacing w:before="80" w:after="80"/>
        <w:pBdr>
          <w:bottom w:val="single" w:sz="6" w:color="E9A13B"/>
        </w:pBdr>
      </w:pPr>
    </w:p>
    <w:p>
      <w:pPr>
        <w:pStyle w:val="Heading2"/>
      </w:pPr>
      <w:r>
        <w:rPr>
          <w:color w:val="14213D"/>
        </w:rPr>
        <w:t>Baan A — OutSystems 11</w:t>
      </w:r>
    </w:p>
    <w:p>
      <w:pPr>
        <w:pStyle w:val="Heading3"/>
      </w:pPr>
      <w:r>
        <w:rPr>
          <w:color w:val="2563A8"/>
        </w:rPr>
        <w:t>Opdracht 24.A — Conventiedocument opstellen (O11-deel)</w:t>
      </w:r>
    </w:p>
    <w:p>
      <w:r>
        <w:t>Schrijf het O11-specifieke deel van het conventiedocument voor Meridiaan: naamgevingsconventie voor modules, het proces voor LifeTime-promotie-goedkeuring, en de minimale eisen voordat een module productie-klaar is.</w:t>
      </w:r>
    </w:p>
    <w:p>
      <w:pPr>
        <w:pStyle w:val="Heading3"/>
      </w:pPr>
      <w:r>
        <w:rPr>
          <w:color w:val="2563A8"/>
        </w:rPr>
        <w:t>Uitwerking 24.A</w:t>
      </w:r>
    </w:p>
    <w:p>
      <w:r>
        <w:t xml:space="preserve">Een sterk O11-deel benoemt concreet: het naamgevingspatroon (bijvoorbeeld </w:t>
      </w:r>
      <w:r>
        <w:rPr>
          <w:rFonts w:ascii="Consolas" w:hAnsi="Consolas"/>
        </w:rPr>
        <w:t>Meridiaan[Domein][Laag]</w:t>
      </w:r>
      <w:r>
        <w:t>, consistent met de laagindeling uit deel 11), wie de LifeTime-promotie naar Production goedkeurt (een specifieke rol, niet "de tech lead" in algemene zin), en minimaal een rolkoppelingscontrole plus peer review als productie-eis. Vermijd te gedetailleerde technische voorschriften — dit blijft een grensdocument, geen technisch handboek.</w:t>
      </w:r>
    </w:p>
    <w:p>
      <w:pPr>
        <w:spacing w:before="80" w:after="80"/>
        <w:pBdr>
          <w:bottom w:val="single" w:sz="6" w:color="E9A13B"/>
        </w:pBdr>
      </w:pPr>
    </w:p>
    <w:p>
      <w:pPr>
        <w:pStyle w:val="Heading2"/>
      </w:pPr>
      <w:r>
        <w:rPr>
          <w:color w:val="14213D"/>
        </w:rPr>
        <w:t>Baan B — OutSystems Developer Cloud</w:t>
      </w:r>
    </w:p>
    <w:p>
      <w:pPr>
        <w:pStyle w:val="Heading3"/>
      </w:pPr>
      <w:r>
        <w:rPr>
          <w:color w:val="2563A8"/>
        </w:rPr>
        <w:t>Opdracht 24.B — Conventiedocument opstellen (ODC-deel)</w:t>
      </w:r>
    </w:p>
    <w:p>
      <w:r>
        <w:t>Herhaal Opdracht 24.A voor het ODC-specifieke deel: naamgeving (consistent met 24.A, waar mogelijk gedeeld), het proces voor pipeline-goedkeuring, en dezelfde productie-eisen toegepast op de ODC-workflow.</w:t>
      </w:r>
    </w:p>
    <w:p>
      <w:pPr>
        <w:pStyle w:val="Heading3"/>
      </w:pPr>
      <w:r>
        <w:rPr>
          <w:color w:val="2563A8"/>
        </w:rPr>
        <w:t>Uitwerking 24.B</w:t>
      </w:r>
    </w:p>
    <w:p>
      <w:r>
        <w:t>Belangrijk punt om te bewaken: de naamgevingsconventie moet zoveel mogelijk gedeeld zijn tussen beide platformdelen (geen aparte, verwarrende naamgevingslogica per platform), terwijl het goedkeuringsproces zelf noodzakelijkerwijs verschilt (pipeline-configuratie versus LifeTime-promotie). Dit onderscheid — wat gedeeld kan zijn versus wat platformspecifiek moet blijven — is de kern van deel 24.4.</w:t>
      </w:r>
    </w:p>
    <w:p>
      <w:pPr>
        <w:spacing w:before="80" w:after="80"/>
        <w:pBdr>
          <w:bottom w:val="single" w:sz="6" w:color="E9A13B"/>
        </w:pBdr>
      </w:pPr>
    </w:p>
    <w:p>
      <w:pPr>
        <w:pStyle w:val="Heading2"/>
      </w:pPr>
      <w:r>
        <w:rPr>
          <w:color w:val="14213D"/>
        </w:rPr>
        <w:t>Reflectieopdracht 24.2 (beide banen gezamenlijk)</w:t>
      </w:r>
    </w:p>
    <w:p>
      <w:r>
        <w:t>Waarom is het een goed idee om het conventiedocument klein te beginnen en te laten groeien uit echte incidenten, in plaats van vooraf een uitputtend document te schrijven?</w:t>
      </w:r>
    </w:p>
    <w:p>
      <w:pPr>
        <w:pStyle w:val="Heading3"/>
      </w:pPr>
      <w:r>
        <w:rPr>
          <w:color w:val="2563A8"/>
        </w:rPr>
        <w:t>Uitwerking 24.2</w:t>
      </w:r>
    </w:p>
    <w:p>
      <w:r>
        <w:t>Een vooraf uitputtend document loopt het risico regels te bevatten voor situaties die zich in de praktijk nooit voordoen, terwijl het de situaties mist die wél optreden — niemand kan alle toekomstige conflicten vooraf voorzien. Een document dat groeit uit echte incidenten bevat alleen regels die daadwerkelijk een concreet probleem hebben opgelost, wat het relevanter en beter onthouden maakt door de teams die ermee moeten werken. Dit is ook praktisch: een team leest een half A4 met scherpe, bewezen-nuttige regels eerder volledig dan een dertig pagina's tellend handboek vol hypothetische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