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25 — Licentie- en kostenmodel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2, deel 20, deel 22-24</w:t>
      </w:r>
    </w:p>
    <w:p>
      <w:r>
        <w:rPr>
          <w:b/>
        </w:rPr>
        <w:t>Materialen:</w:t>
      </w:r>
      <w:r>
        <w:t xml:space="preserve"> Reader, Werkboek, Slidedeck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Structurele patronen in OutSystems-licentiekosten herkennen, zonder specifieke prijsclaims</w:t>
      </w:r>
    </w:p>
    <w:p>
      <w:pPr>
        <w:pStyle w:val="ListNumber"/>
      </w:pPr>
      <w:r>
        <w:t>De bouwen/kopen/configureren-afweging toepassen</w:t>
      </w:r>
    </w:p>
    <w:p>
      <w:pPr>
        <w:pStyle w:val="ListNumber"/>
      </w:pPr>
      <w:r>
        <w:t>Total cost of ownership meewegen naast bouwkosten in een portfolioadvies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22-24, intro kostenmodel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25.1–25.2, discussie licentiepatronen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25.1,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kosteninschatting opstellen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25.3–25.4, reflectieopdracht 25.2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26 (lock-in en exitstrategie)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Wees expliciet en consequent in het vermijden van specifieke, actuele prijsclaims — dit deel behandelt structurele patronen, geen tarieven.</w:t>
      </w:r>
      <w:r>
        <w:t xml:space="preserve"> Als deelnemers om concrete getallen vragen, verwijs consequent naar de Toolbijlagen en naar OutSystems' eigen, actuele prijsinformatie — het risico van het noemen van specifieke bedragen in cursusmateriaal is dat deze snel verouderen en de cursus onbetrouwbaar doen lijken.</w:t>
      </w:r>
    </w:p>
    <w:p>
      <w:r>
        <w:rPr>
          <w:b/>
        </w:rPr>
        <w:t>Opdracht 25.1c (het exportmechanisme) is bewust het minst voor de hand liggende voorbeeld — laat deelnemers eerst zelf redeneren voordat je de uitwerking deelt.</w:t>
      </w:r>
      <w:r>
        <w:t xml:space="preserve"> Sommige deelnemers hebben de neiging alles zelf te willen bouwen "omdat het kan" — dit is precies de valkuil die reflectieopdracht 25.2 behandelt.</w:t>
      </w:r>
    </w:p>
    <w:p>
      <w:r>
        <w:rPr>
          <w:b/>
        </w:rPr>
        <w:t>Zorg dat de kosteninschattingen in Opdracht 25.A/B relatief en structureel blijven (welke kostenposten, welke verhoudingen), niet absoluut in euro's.</w:t>
      </w:r>
      <w:r>
        <w:t xml:space="preserve"> Het doel is het leren denken in kostencategorieën, niet het produceren van een schijnbaar precieze begroting die feitelijk giswerk zou zijn.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"Kunt u een concreet prijsvoorbeeld geven van O11 versus ODC?"</w:t>
      </w:r>
    </w:p>
    <w:p>
      <w:r>
        <w:t>Nee, bewust niet — verwijs naar de Toolbijlagen en OutSystems' eigen documentatie voor actuele tarieven; dit deel behandelt het structurele denkraam, niet specifieke cijfers die snel verouderen.</w:t>
      </w:r>
    </w:p>
    <w:p>
      <w:r>
        <w:rPr>
          <w:b/>
        </w:rPr>
        <w:t>"Is 'kopen' niet gewoon een manier om de OutSystems-investering te ondermijnen?"</w:t>
      </w:r>
    </w:p>
    <w:p>
      <w:r>
        <w:t>Nee, nuanceer dit: een goed portfolio combineert bewust bouwen, kopen en configureren naar wat elke behoefte vraagt — OutSystems is sterk voor onderscheidende, bedrijfsspecifieke functionaliteit, niet noodzakelijk voor elke denkbare behoefte in het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