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Deel 25 — Licentie- en kostenmodel: wat schaalt duur, bouwen-kopen-configureren</w:t>
      </w:r>
    </w:p>
    <w:p>
      <w:pPr>
        <w:pStyle w:val="Heading2"/>
      </w:pPr>
      <w:r>
        <w:rPr>
          <w:color w:val="14213D"/>
        </w:rPr>
        <w:t>Niveau 3 · Leidend · OutSystems (O11 &amp; ODC)</w:t>
      </w:r>
    </w:p>
    <w:p>
      <w:pPr>
        <w:spacing w:before="80" w:after="80"/>
        <w:pBdr>
          <w:bottom w:val="single" w:sz="6" w:color="E9A13B"/>
        </w:pBdr>
      </w:pPr>
    </w:p>
    <w:p>
      <w:pPr>
        <w:pStyle w:val="Heading2"/>
      </w:pPr>
      <w:r>
        <w:rPr>
          <w:color w:val="14213D"/>
        </w:rPr>
        <w:t>25.1 Waarom een tech lead het kostenmodel moet begrijpen</w:t>
      </w:r>
    </w:p>
    <w:p>
      <w:r>
        <w:t>Een architecturaal correct ontwerp dat de organisatie financieel overvalt, is geen goed advies. Deel 22 introduceerde de tech lead als adviseur van het Architecture Board — een volwaardig advies over portfoliokeuzes vraagt ook begrip van hoe kosten schalen, niet alleen van technische kwaliteit.</w:t>
      </w:r>
    </w:p>
    <w:p>
      <w:pPr>
        <w:spacing w:before="80" w:after="80"/>
        <w:pBdr>
          <w:bottom w:val="single" w:sz="6" w:color="E9A13B"/>
        </w:pBdr>
      </w:pPr>
    </w:p>
    <w:p>
      <w:pPr>
        <w:pStyle w:val="Heading2"/>
      </w:pPr>
      <w:r>
        <w:rPr>
          <w:color w:val="14213D"/>
        </w:rPr>
        <w:t>25.2 Hoe OutSystems-licenties doorgaans schalen</w:t>
      </w:r>
    </w:p>
    <w:p>
      <w:r>
        <w:t xml:space="preserve">Zonder specifieke, actuele prijsinformatie te claimen (die is versiegebonden en hoort in de Toolbijlagen), geldt een aantal structurele patronen die een tech lead moet kennen: licentiekosten schalen doorgaans met een combinatie van </w:t>
      </w:r>
      <w:r>
        <w:rPr>
          <w:b/>
        </w:rPr>
        <w:t>toepassingsomvang</w:t>
      </w:r>
      <w:r>
        <w:t xml:space="preserve"> (aantal apps, gebruikers, of transactievolume) en </w:t>
      </w:r>
      <w:r>
        <w:rPr>
          <w:b/>
        </w:rPr>
        <w:t>platformcapaciteit</w:t>
      </w:r>
      <w:r>
        <w:t xml:space="preserve"> (rekenkracht, opslag). Dit betekent dat de kostprijs van een nieuwe module niet alleen een bouwkostenvraag is, maar ook een licentie-impactvraag: voegt deze module significant toe aan het volume waarop de licentie is gebaseerd?</w:t>
      </w:r>
    </w:p>
    <w:p>
      <w:r>
        <w:rPr>
          <w:b/>
        </w:rPr>
        <w:t>Spoorsplitsing:</w:t>
      </w:r>
      <w:r>
        <w:t xml:space="preserve"> O11's licentiemodel is historisch vaak gekoppeld aan de infrastructuur die Meridiaan zelf beheert (deel 2) — extra capaciteit vraagt zowel licentie- als infrastructuurinvestering. ODC's cloud-native model koppelt kosten sterker aan verbruik binnen het platform zelf, zonder de aparte infrastructuurlaag. Voor Meridiaan betekent dit dat de totale kostenvergelijking tussen "een module in O11 houden" en "migreren naar ODC" niet alleen een technische, maar ook een financiële analyse vraagt.</w:t>
      </w:r>
    </w:p>
    <w:p>
      <w:pPr>
        <w:spacing w:before="80" w:after="80"/>
        <w:pBdr>
          <w:bottom w:val="single" w:sz="6" w:color="E9A13B"/>
        </w:pBdr>
      </w:pPr>
    </w:p>
    <w:p>
      <w:pPr>
        <w:pStyle w:val="Heading2"/>
      </w:pPr>
      <w:r>
        <w:rPr>
          <w:color w:val="14213D"/>
        </w:rPr>
        <w:t>25.3 Bouwen, kopen, of configureren</w:t>
      </w:r>
    </w:p>
    <w:p>
      <w:r>
        <w:t xml:space="preserve">Voor elke nieuwe functionaliteitsbehoefte in het portfolio heb je een driedeling: </w:t>
      </w:r>
      <w:r>
        <w:rPr>
          <w:b/>
        </w:rPr>
        <w:t>zelf bouwen</w:t>
      </w:r>
      <w:r>
        <w:t xml:space="preserve"> in OutSystems (de aanpak die deze cursus tot nu toe centraal stelde), </w:t>
      </w:r>
      <w:r>
        <w:rPr>
          <w:b/>
        </w:rPr>
        <w:t>kopen</w:t>
      </w:r>
      <w:r>
        <w:t xml:space="preserve"> van een kant-en-klare oplossing (bijvoorbeeld een gespecialiseerd SaaS-product voor iets als documentbeheer), of </w:t>
      </w:r>
      <w:r>
        <w:rPr>
          <w:b/>
        </w:rPr>
        <w:t>configureren</w:t>
      </w:r>
      <w:r>
        <w:t xml:space="preserve"> van een bestaande, generieke oplossing (bijvoorbeeld een low-code component uit de OutSystems Forge/marktplaats).</w:t>
      </w:r>
    </w:p>
    <w:p>
      <w:r>
        <w:t>De vuistregel: bouw zelf waar de functionaliteit een onderscheidend, bedrijfsspecifiek karakter heeft (de mutatielogica van Meridiaan, uniek voor hun bedrijfsvoering); koop of configureer waar de behoefte generiek is en elders al goed is opgelost (documentopslag, e-mailverzending). Zelf bouwen van iets generieks is een veelvoorkomende, kostbare valkuil — niet omdat het technisch niet kan, maar omdat het onderhoud van zelfgebouwde, niet-onderscheidende functionaliteit een blijvende kostenpost is zonder concurrentievoordeel.</w:t>
      </w:r>
    </w:p>
    <w:p>
      <w:pPr>
        <w:spacing w:before="80" w:after="80"/>
        <w:pBdr>
          <w:bottom w:val="single" w:sz="6" w:color="E9A13B"/>
        </w:pBdr>
      </w:pPr>
    </w:p>
    <w:p>
      <w:pPr>
        <w:pStyle w:val="Heading2"/>
      </w:pPr>
      <w:r>
        <w:rPr>
          <w:color w:val="14213D"/>
        </w:rPr>
        <w:t>25.4 De total cost of ownership, niet alleen de bouwkosten</w:t>
      </w:r>
    </w:p>
    <w:p>
      <w:r>
        <w:t>Een portfoliobeslissing die alleen naar bouwkosten kijkt, mist het grootste deel van de werkelijke kosten. Voor elke nieuwe module hoort een schatting van: onderhoudskosten (bugfixes, kleine aanpassingen over de levensduur), de kosten van technische schuld die zich onvermijdelijk opstapelt (deel 20), en de kosten van een eventuele toekomstige migratie (deel 23) als het platform of de organisatie verandert. Dit sluit aan bij hetzelfde principe dat je in de EA-cursus tegenkwam bij architectuurbeslissingen: de zichtbare, initiële kosten zijn zelden de volledige kosten.</w:t>
      </w:r>
    </w:p>
    <w:p>
      <w:pPr>
        <w:spacing w:before="80" w:after="80"/>
        <w:pBdr>
          <w:bottom w:val="single" w:sz="6" w:color="E9A13B"/>
        </w:pBdr>
      </w:pPr>
    </w:p>
    <w:p>
      <w:pPr>
        <w:pStyle w:val="Heading2"/>
      </w:pPr>
      <w:r>
        <w:rPr>
          <w:color w:val="14213D"/>
        </w:rPr>
        <w:t>Kernpunten</w:t>
      </w:r>
    </w:p>
    <w:p>
      <w:pPr>
        <w:pStyle w:val="ListBullet"/>
      </w:pPr>
      <w:r>
        <w:t>Licentiekosten schalen met toepassingsomvang en platformcapaciteit — een tech lead moet dit meewegen in elk advies</w:t>
      </w:r>
    </w:p>
    <w:p>
      <w:pPr>
        <w:pStyle w:val="ListBullet"/>
      </w:pPr>
      <w:r>
        <w:t>O11 koppelt kosten mede aan zelfbeheerde infrastructuur; ODC koppelt kosten sterker aan platformverbruik</w:t>
      </w:r>
    </w:p>
    <w:p>
      <w:pPr>
        <w:pStyle w:val="ListBullet"/>
      </w:pPr>
      <w:r>
        <w:t>Bouw zelf waar functionaliteit onderscheidend is; koop of configureer waar de behoefte generiek is</w:t>
      </w:r>
    </w:p>
    <w:p>
      <w:pPr>
        <w:pStyle w:val="ListBullet"/>
      </w:pPr>
      <w:r>
        <w:t>Total cost of ownership omvat bouw-, onderhouds-, schuld- en potentiële migratiekosten — niet alleen de initiële bouwkosten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