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Werkboek Deel 25 — Licentie- en kostenmodel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Opdracht 25.1 — Bouwen, kopen of configureren? (beide banen gezamenlijk)</w:t>
      </w:r>
    </w:p>
    <w:p>
      <w:r>
        <w:rPr>
          <w:b/>
        </w:rPr>
        <w:t>a.</w:t>
      </w:r>
      <w:r>
        <w:t xml:space="preserve"> De mutatielogica die specifiek is voor Meridiaan's pensioenregels.</w:t>
      </w:r>
    </w:p>
    <w:p>
      <w:r>
        <w:rPr>
          <w:b/>
        </w:rPr>
        <w:t>b.</w:t>
      </w:r>
      <w:r>
        <w:t xml:space="preserve"> Een documentbeheersysteem voor het archiveren van ingediende meldingen.</w:t>
      </w:r>
    </w:p>
    <w:p>
      <w:r>
        <w:rPr>
          <w:b/>
        </w:rPr>
        <w:t>c.</w:t>
      </w:r>
      <w:r>
        <w:t xml:space="preserve"> Een generiek exportmechanisme naar Excel, waarvoor al kant-en-klare, goed onderhouden componenten bestaan.</w:t>
      </w:r>
    </w:p>
    <w:p>
      <w:pPr>
        <w:pStyle w:val="Heading3"/>
      </w:pPr>
      <w:r>
        <w:rPr>
          <w:color w:val="2563A8"/>
        </w:rPr>
        <w:t>Uitwerking 25.1</w:t>
      </w:r>
    </w:p>
    <w:p>
      <w:r>
        <w:rPr>
          <w:b/>
        </w:rPr>
        <w:t>a.</w:t>
      </w:r>
      <w:r>
        <w:t xml:space="preserve"> Bouwen — onderscheidend, bedrijfsspecifiek, geen generieke oplossing beschikbaar die dit dekt.</w:t>
      </w:r>
    </w:p>
    <w:p>
      <w:r>
        <w:rPr>
          <w:b/>
        </w:rPr>
        <w:t>b.</w:t>
      </w:r>
      <w:r>
        <w:t xml:space="preserve"> Kopen — documentbeheer is een generieke behoefte, elders al goed opgelost door gespecialiseerde leveranciers.</w:t>
      </w:r>
    </w:p>
    <w:p>
      <w:r>
        <w:rPr>
          <w:b/>
        </w:rPr>
        <w:t>c.</w:t>
      </w:r>
      <w:r>
        <w:t xml:space="preserve"> Configureren — een bestaande, generieke component gebruiken in plaats van zelf te bouwen, tenzij er een concrete, onderscheidende reden is om dit zelf te doen.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A — OutSystems 11</w:t>
      </w:r>
    </w:p>
    <w:p>
      <w:pPr>
        <w:pStyle w:val="Heading3"/>
      </w:pPr>
      <w:r>
        <w:rPr>
          <w:color w:val="2563A8"/>
        </w:rPr>
        <w:t>Opdracht 25.A — Kostenimpact van een nieuwe module inschatten (O11)</w:t>
      </w:r>
    </w:p>
    <w:p>
      <w:r>
        <w:t>Stel voor een nieuwe, fictieve O11-satelliet (bijvoorbeeld een uitbreiding op de goedkeuringsflow) een korte kosteninschatting op: bouwkosten, verwachte impact op licentie/infrastructuur, en geschatte jaarlijkse onderhoudskosten.</w:t>
      </w:r>
    </w:p>
    <w:p>
      <w:pPr>
        <w:pStyle w:val="Heading3"/>
      </w:pPr>
      <w:r>
        <w:rPr>
          <w:color w:val="2563A8"/>
        </w:rPr>
        <w:t>Uitwerking 25.A</w:t>
      </w:r>
    </w:p>
    <w:p>
      <w:r>
        <w:t>Een sterke inschatting benoemt expliciet dat de infrastructuurimpact in O11 (deel 2) een aparte kostenpost is naast de bouwkosten — bijvoorbeeld extra servercapaciteit als het transactievolume significant toeneemt — en schat onderhoudskosten op basis van vergelijkbare, bestaande modules in het portfolio in plaats van een geïsoleerde gok.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Baan B — OutSystems Developer Cloud</w:t>
      </w:r>
    </w:p>
    <w:p>
      <w:pPr>
        <w:pStyle w:val="Heading3"/>
      </w:pPr>
      <w:r>
        <w:rPr>
          <w:color w:val="2563A8"/>
        </w:rPr>
        <w:t>Opdracht 25.B — Kostenimpact van een nieuwe module inschatten (ODC)</w:t>
      </w:r>
    </w:p>
    <w:p>
      <w:r>
        <w:t>Herhaal Opdracht 25.A voor een vergelijkbare nieuwe module in ODC. Vergelijk de structuur van de kosteninschatting met Opdracht 25.A.</w:t>
      </w:r>
    </w:p>
    <w:p>
      <w:pPr>
        <w:pStyle w:val="Heading3"/>
      </w:pPr>
      <w:r>
        <w:rPr>
          <w:color w:val="2563A8"/>
        </w:rPr>
        <w:t>Uitwerking 25.B</w:t>
      </w:r>
    </w:p>
    <w:p>
      <w:r>
        <w:t>In ODC vervalt de aparte infrastructuurkostenpost — de kosteninschatting concentreert zich sterker op platformverbruik binnen het ODC-abonnement zelf. Herkenningspunt: dit is een structureel verschil in hoe de kostenpost is opgebouwd, niet noodzakelijk in de totale hoogte — beide vragen een zorgvuldige inschatting, maar de onderliggende kostenstructuur verschilt.</w:t>
      </w:r>
    </w:p>
    <w:p>
      <w:pPr>
        <w:spacing w:before="80" w:after="80"/>
        <w:pBdr>
          <w:bottom w:val="single" w:sz="6" w:color="E9A13B"/>
        </w:pBdr>
      </w:pPr>
    </w:p>
    <w:p>
      <w:pPr>
        <w:pStyle w:val="Heading2"/>
      </w:pPr>
      <w:r>
        <w:rPr>
          <w:color w:val="14213D"/>
        </w:rPr>
        <w:t>Reflectieopdracht 25.2 (beide banen gezamenlijk)</w:t>
      </w:r>
    </w:p>
    <w:p>
      <w:r>
        <w:t>Waarom is "zelf bouwen" van een generieke functionaliteit (zoals documentbeheer) een veelvoorkomende, kostbare valkuil, ook als het technisch prima haalbaar is binnen OutSystems?</w:t>
      </w:r>
    </w:p>
    <w:p>
      <w:pPr>
        <w:pStyle w:val="Heading3"/>
      </w:pPr>
      <w:r>
        <w:rPr>
          <w:color w:val="2563A8"/>
        </w:rPr>
        <w:t>Uitwerking 25.2</w:t>
      </w:r>
    </w:p>
    <w:p>
      <w:r>
        <w:t>Zelfgebouwde, generieke functionaliteit vraagt dezelfde onderhoudslast (bugfixes, updates, technische-schuld-management, deel 20) als bedrijfsspecifieke logica, maar levert geen concurrentievoordeel op — een documentbeheersysteem onderscheidt Meridiaan niet van andere pensioenuitvoerders, terwijl de mutatielogica dat wél doet. De bouwtijd en het onderhoud die aan het generieke onderdeel worden besteed, hadden elders — aan het onderscheidende deel van het portfolio — geïnvesteerd kunnen worden. Dit is geen technisch argument maar een strategisch: investeer bouw- en onderhoudscapaciteit waar het bedrijfswaarde toevoegt, niet waar een gespecialiseerde leverancier het probleem al beter en goedkoper heeft opgelost.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