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26 — Vendor lock-in en exitstrategie</w:t>
      </w:r>
    </w:p>
    <w:p>
      <w:r>
        <w:rPr>
          <w:b/>
        </w:rPr>
        <w:t>Duur:</w:t>
      </w:r>
      <w:r>
        <w:t xml:space="preserve"> 1 dagdeel (± 3 uur)</w:t>
      </w:r>
    </w:p>
    <w:p>
      <w:r>
        <w:rPr>
          <w:b/>
        </w:rPr>
        <w:t>Vereiste voorkennis:</w:t>
      </w:r>
      <w:r>
        <w:t xml:space="preserve"> Deel 18, deel 20, deel 23, deel 25</w:t>
      </w:r>
    </w:p>
    <w:p>
      <w:r>
        <w:rPr>
          <w:b/>
        </w:rPr>
        <w:t>Materialen:</w:t>
      </w:r>
      <w:r>
        <w:t xml:space="preserve"> Reader, Werkboek, Slidedeck</w:t>
      </w:r>
    </w:p>
    <w:p>
      <w:pPr>
        <w:pStyle w:val="Heading2"/>
      </w:pPr>
      <w:r>
        <w:rPr>
          <w:color w:val="14213D"/>
        </w:rPr>
        <w:t>Lesdoelen</w:t>
      </w:r>
    </w:p>
    <w:p>
      <w:pPr>
        <w:pStyle w:val="ListNumber"/>
      </w:pPr>
      <w:r>
        <w:t>Concreet benoemen wat vendor lock-in bij OutSystems inhoudt, per onderdeel van de applicatie</w:t>
      </w:r>
    </w:p>
    <w:p>
      <w:pPr>
        <w:pStyle w:val="ListNumber"/>
      </w:pPr>
      <w:r>
        <w:t>Lock-in eerlijk afwegen tegen de voordelen van het platform, zonder het te bagatelliseren of te overdrijven</w:t>
      </w:r>
    </w:p>
    <w:p>
      <w:pPr>
        <w:pStyle w:val="ListNumber"/>
      </w:pPr>
      <w:r>
        <w:t>De elementen van een reële exitstrategie benoemen</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18, 20, 23, 25, intro lock-in</w:t>
            </w:r>
          </w:p>
        </w:tc>
      </w:tr>
      <w:tr>
        <w:tc>
          <w:tcPr>
            <w:tcW w:type="dxa" w:w="4320"/>
          </w:tcPr>
          <w:p>
            <w:r>
              <w:t>0:15–0:45</w:t>
            </w:r>
          </w:p>
        </w:tc>
        <w:tc>
          <w:tcPr>
            <w:tcW w:type="dxa" w:w="4320"/>
          </w:tcPr>
          <w:p>
            <w:r>
              <w:t>Reader 26.1–26.3, discussie "is lock-in erg"</w:t>
            </w:r>
          </w:p>
        </w:tc>
      </w:tr>
      <w:tr>
        <w:tc>
          <w:tcPr>
            <w:tcW w:type="dxa" w:w="4320"/>
          </w:tcPr>
          <w:p>
            <w:r>
              <w:t>0:45–1:15</w:t>
            </w:r>
          </w:p>
        </w:tc>
        <w:tc>
          <w:tcPr>
            <w:tcW w:type="dxa" w:w="4320"/>
          </w:tcPr>
          <w:p>
            <w:r>
              <w:t>Opdracht 26.1,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exitrisico inschatten</w:t>
            </w:r>
          </w:p>
        </w:tc>
      </w:tr>
      <w:tr>
        <w:tc>
          <w:tcPr>
            <w:tcW w:type="dxa" w:w="4320"/>
          </w:tcPr>
          <w:p>
            <w:r>
              <w:t>2:15–2:45</w:t>
            </w:r>
          </w:p>
        </w:tc>
        <w:tc>
          <w:tcPr>
            <w:tcW w:type="dxa" w:w="4320"/>
          </w:tcPr>
          <w:p>
            <w:r>
              <w:t>Reader 26.4–26.5, reflectieopdracht 26.2</w:t>
            </w:r>
          </w:p>
        </w:tc>
      </w:tr>
      <w:tr>
        <w:tc>
          <w:tcPr>
            <w:tcW w:type="dxa" w:w="4320"/>
          </w:tcPr>
          <w:p>
            <w:r>
              <w:t>2:45–3:00</w:t>
            </w:r>
          </w:p>
        </w:tc>
        <w:tc>
          <w:tcPr>
            <w:tcW w:type="dxa" w:w="4320"/>
          </w:tcPr>
          <w:p>
            <w:r>
              <w:t>Vooruitblik deel 27 (AI in het platform)</w:t>
            </w:r>
          </w:p>
        </w:tc>
      </w:tr>
    </w:tbl>
    <w:p/>
    <w:p>
      <w:pPr>
        <w:pStyle w:val="Heading2"/>
      </w:pPr>
      <w:r>
        <w:rPr>
          <w:color w:val="14213D"/>
        </w:rPr>
        <w:t>Didactische aandachtspunten</w:t>
      </w:r>
    </w:p>
    <w:p>
      <w:r>
        <w:rPr>
          <w:b/>
        </w:rPr>
        <w:t>Dit deel vraagt om de meest eerlijke, minst promotionele toon van de hele cursus — waak hier expliciet over.</w:t>
      </w:r>
      <w:r>
        <w:t xml:space="preserve"> Een cursusontwikkelaar of docent die als indirecte OutSystems-vertegenwoordiger overkomt, ondermijnt de geloofwaardigheid van juist dit deel. Behandel lock-in zoals de reader het doet: een structureel, eerlijk te benoemen kenmerk, niet iets om te verdedigen of te verbloemen.</w:t>
      </w:r>
    </w:p>
    <w:p>
      <w:r>
        <w:rPr>
          <w:b/>
        </w:rPr>
        <w:t>Opdracht 26.1b (BPT) is een directe herhaling van het inzicht uit deel 18 — gebruik dit bewust als bevestiging in plaats van nieuwe stof.</w:t>
      </w:r>
      <w:r>
        <w:t xml:space="preserve"> Deelnemers die deel 18 goed hebben begrepen, zouden dit patroon nu zelfstandig moeten herkennen zonder veel nieuwe uitleg.</w:t>
      </w:r>
    </w:p>
    <w:p>
      <w:r>
        <w:rPr>
          <w:b/>
        </w:rPr>
        <w:t>Reflectieopdracht 26.2 (het "maakt toch geen verschil"-argument) is de belangrijkste discussie van dit deel — geef er ruim de tijd voor.</w:t>
      </w:r>
      <w:r>
        <w:t xml:space="preserve"> Dit is een reëel, vaak gehoord argument in de praktijk, en het weerleggen ervan met een concreet, overtuigend tegenargument is precies de vaardigheid die een tech lead nodig heeft in een gesprek met een sceptisch management.</w:t>
      </w:r>
    </w:p>
    <w:p>
      <w:pPr>
        <w:pStyle w:val="Heading2"/>
      </w:pPr>
      <w:r>
        <w:rPr>
          <w:color w:val="14213D"/>
        </w:rPr>
        <w:t>Veelgestelde vragen</w:t>
      </w:r>
    </w:p>
    <w:p>
      <w:r>
        <w:rPr>
          <w:b/>
        </w:rPr>
        <w:t>"Is lock-in bij OutSystems erger dan bij bijvoorbeeld een custom-gebouwde applicatie in een traditionele taal?"</w:t>
      </w:r>
    </w:p>
    <w:p>
      <w:r>
        <w:t>Nuanceer zorgvuldig: het is een andere vorm van lock-in (platform-specifieke visuele taal versus bijvoorbeeld een specifiek framework of specifieke ontwikkelaars-schaarste), niet per definitie "erger" — beide vragen bewuste afweging en documentatie.</w:t>
      </w:r>
    </w:p>
    <w:p>
      <w:r>
        <w:rPr>
          <w:b/>
        </w:rPr>
        <w:t>"Moeten we nu een concreet exitplan gaan schrijven voor heel het portfolio?"</w:t>
      </w:r>
    </w:p>
    <w:p>
      <w:r>
        <w:t>Niet per se een volledig uitgewerkt plan voor elke module — de kern is bewustzijn en documentatiediscipline (deel 24, 26.4), zodat een exitanalyse, mocht die ooit nodig zijn, snel en betrouwbaar kan worden uitgevoerd, niet dat het portfolio nu al gedetailleerd wordt voorbereid op een vertrek dat niet gepland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