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26 — Vendor lock-in en exitstrategie</w:t>
      </w:r>
    </w:p>
    <w:p>
      <w:pPr>
        <w:spacing w:before="80" w:after="80"/>
        <w:pBdr>
          <w:bottom w:val="single" w:sz="6" w:color="E9A13B"/>
        </w:pBdr>
      </w:pPr>
    </w:p>
    <w:p>
      <w:pPr>
        <w:pStyle w:val="Heading2"/>
      </w:pPr>
      <w:r>
        <w:rPr>
          <w:color w:val="14213D"/>
        </w:rPr>
        <w:t>Opdracht 26.1 — Hoe overdraagbaar is dit onderdeel? (beide banen gezamenlijk)</w:t>
      </w:r>
    </w:p>
    <w:p>
      <w:r>
        <w:rPr>
          <w:b/>
        </w:rPr>
        <w:t>a.</w:t>
      </w:r>
      <w:r>
        <w:t xml:space="preserve"> Het datamodel van </w:t>
      </w:r>
      <w:r>
        <w:rPr>
          <w:rFonts w:ascii="Consolas" w:hAnsi="Consolas"/>
        </w:rPr>
        <w:t>MeridiaanMutatiesCore</w:t>
      </w:r>
      <w:r>
        <w:t xml:space="preserve"> (entities en relaties).</w:t>
      </w:r>
    </w:p>
    <w:p>
      <w:r>
        <w:rPr>
          <w:b/>
        </w:rPr>
        <w:t>b.</w:t>
      </w:r>
      <w:r>
        <w:t xml:space="preserve"> Een BPT-proces met complexe escalatieregels.</w:t>
      </w:r>
    </w:p>
    <w:p>
      <w:r>
        <w:rPr>
          <w:b/>
        </w:rPr>
        <w:t>c.</w:t>
      </w:r>
      <w:r>
        <w:t xml:space="preserve"> Een REST-endpoint dat door het Mutatieplatform wordt aangeroepen (deel 9, 16).</w:t>
      </w:r>
    </w:p>
    <w:p>
      <w:pPr>
        <w:pStyle w:val="Heading3"/>
      </w:pPr>
      <w:r>
        <w:rPr>
          <w:color w:val="2563A8"/>
        </w:rPr>
        <w:t>Uitwerking 26.1</w:t>
      </w:r>
    </w:p>
    <w:p>
      <w:r>
        <w:rPr>
          <w:b/>
        </w:rPr>
        <w:t>a.</w:t>
      </w:r>
      <w:r>
        <w:t xml:space="preserve"> Relatief goed overdraagbaar — het datamodel-concept (entities, relaties, attributen) vertaalt zich naar vrijwel elk ander systeem, ook al moet het fysiek opnieuw worden aangemaakt.</w:t>
      </w:r>
    </w:p>
    <w:p>
      <w:r>
        <w:rPr>
          <w:b/>
        </w:rPr>
        <w:t>b.</w:t>
      </w:r>
      <w:r>
        <w:t xml:space="preserve"> Slecht overdraagbaar — een platform-specifiek mechanisme zonder equivalent buiten OutSystems (en zelfs binnen OutSystems niet in ODC, zie deel 18); vereist volledig herontwerp bij een exit.</w:t>
      </w:r>
    </w:p>
    <w:p>
      <w:r>
        <w:rPr>
          <w:b/>
        </w:rPr>
        <w:t>c.</w:t>
      </w:r>
      <w:r>
        <w:t xml:space="preserve"> Relatief goed overdraagbaar — het REST-koppelvlak zelf is een standaardprotocol; alleen de interne implementatie erachter is platformspecifiek, niet de manier waarop andere systemen ermee praten.</w:t>
      </w:r>
    </w:p>
    <w:p>
      <w:pPr>
        <w:spacing w:before="80" w:after="80"/>
        <w:pBdr>
          <w:bottom w:val="single" w:sz="6" w:color="E9A13B"/>
        </w:pBdr>
      </w:pPr>
    </w:p>
    <w:p>
      <w:pPr>
        <w:pStyle w:val="Heading2"/>
      </w:pPr>
      <w:r>
        <w:rPr>
          <w:color w:val="14213D"/>
        </w:rPr>
        <w:t>Baan A — OutSystems 11</w:t>
      </w:r>
    </w:p>
    <w:p>
      <w:pPr>
        <w:pStyle w:val="Heading3"/>
      </w:pPr>
      <w:r>
        <w:rPr>
          <w:color w:val="2563A8"/>
        </w:rPr>
        <w:t>Opdracht 26.A — Exitrisico inschatten voor een O11-satelliet</w:t>
      </w:r>
    </w:p>
    <w:p>
      <w:r>
        <w:t>Kies een van de bestaande O11-satellieten uit de opleidingsomgeving (of een uit eerdere delen gebruikte casus) en schat het exitrisico in: welke onderdelen zouden bij een hypothetische platformwissel het meeste herbouwwerk vergen, en waarom.</w:t>
      </w:r>
    </w:p>
    <w:p>
      <w:pPr>
        <w:pStyle w:val="Heading3"/>
      </w:pPr>
      <w:r>
        <w:rPr>
          <w:color w:val="2563A8"/>
        </w:rPr>
        <w:t>Uitwerking 26.A</w:t>
      </w:r>
    </w:p>
    <w:p>
      <w:r>
        <w:t>Voor een satelliet met een BPT-proces (zoals de goedkeuringsflow uit deel 18/23) is het exitrisico hoog: het proces zelf, inclusief alle wacht- en escalatielogica, zou volledig herontworpen moeten worden buiten OutSystems. Voor een eenvoudige, overwegend CRUD-gebaseerde satelliet (zoals de oorspronkelijke Verzuimmeldingen uit niveau 1) is het risico lager — het datamodel en de basale formulierlogica zijn conceptueel overdraagbaar naar bijna elk ander platform.</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26.B — Exitrisico inschatten voor WGP 2.0 (ODC)</w:t>
      </w:r>
    </w:p>
    <w:p>
      <w:r>
        <w:t>Herhaal Opdracht 26.A voor WGP 2.0 in ODC. Vergelijk het exitrisicoprofiel met dat van de O11-satelliet uit Opdracht 26.A.</w:t>
      </w:r>
    </w:p>
    <w:p>
      <w:pPr>
        <w:pStyle w:val="Heading3"/>
      </w:pPr>
      <w:r>
        <w:rPr>
          <w:color w:val="2563A8"/>
        </w:rPr>
        <w:t>Uitwerking 26.B</w:t>
      </w:r>
    </w:p>
    <w:p>
      <w:r>
        <w:t>Omdat WGP 2.0 geen BPT bevat (dat bestaat niet in ODC, deel 18) maar in plaats daarvan een expliciete, zelfgebouwde statusmachine gebruikt, is die specifieke logica mogelijk iets beter te documenteren en conceptueel over te dragen dan een BPT-proces — de logica staat expliciet in server actions in plaats van in een black-box-achtig BPT-framework. Dit is een genuanceerd punt: het zegt niet dat ODC per definitie minder lock-in kent, maar dat de manier waarop bepaalde logica is uitgedrukt, verschilt in overdraagbaarheid.</w:t>
      </w:r>
    </w:p>
    <w:p>
      <w:pPr>
        <w:spacing w:before="80" w:after="80"/>
        <w:pBdr>
          <w:bottom w:val="single" w:sz="6" w:color="E9A13B"/>
        </w:pBdr>
      </w:pPr>
    </w:p>
    <w:p>
      <w:pPr>
        <w:pStyle w:val="Heading2"/>
      </w:pPr>
      <w:r>
        <w:rPr>
          <w:color w:val="14213D"/>
        </w:rPr>
        <w:t>Reflectieopdracht 26.2 (beide banen gezamenlijk)</w:t>
      </w:r>
    </w:p>
    <w:p>
      <w:r>
        <w:t>Een collega stelt: "Als lock-in toch onvermijdelijk is, waarom zouden we er dan tijd aan besteden — het maakt toch geen verschil?" Wat is het tegenargument?</w:t>
      </w:r>
    </w:p>
    <w:p>
      <w:pPr>
        <w:pStyle w:val="Heading3"/>
      </w:pPr>
      <w:r>
        <w:rPr>
          <w:color w:val="2563A8"/>
        </w:rPr>
        <w:t>Uitwerking 26.2</w:t>
      </w:r>
    </w:p>
    <w:p>
      <w:r>
        <w:t>Onvermijdelijk zijn van lock-in an sich betekent niet dat de mate en de gevolgen ervan onveranderlijk zijn: goede documentatie, een expliciet begrepen datamodel, en bewust ontworpen (in plaats van toevallig gegroeide) bedrijfslogica verkleinen de daadwerkelijke herbouwtijd bij een eventuele exit aanzienlijk, ook al verdwijnt de lock-in zelf niet. Het verschil tussen een goed gedocumenteerd, bewust ontworpen landschap en een chaotisch, ondocumenteerd landschap is het verschil tussen een exit die maanden kost en een exit die jaren kost — dat verschil is het waard om actief te managen, ook wanneer de onderliggende lock-in als zodanig blijft bestaan.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