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28 — Beheersing in productie</w:t>
      </w:r>
    </w:p>
    <w:p>
      <w:r>
        <w:rPr>
          <w:b/>
        </w:rPr>
        <w:t>Duur:</w:t>
      </w:r>
      <w:r>
        <w:t xml:space="preserve"> 1 dagdeel (± 3 uur)</w:t>
      </w:r>
    </w:p>
    <w:p>
      <w:r>
        <w:rPr>
          <w:b/>
        </w:rPr>
        <w:t>Vereiste voorkennis:</w:t>
      </w:r>
      <w:r>
        <w:t xml:space="preserve"> Deel 2, deel 14, deel 19, deel 22</w:t>
      </w:r>
    </w:p>
    <w:p>
      <w:r>
        <w:rPr>
          <w:b/>
        </w:rPr>
        <w:t>Materialen:</w:t>
      </w:r>
      <w:r>
        <w:t xml:space="preserve"> Reader, Werkboek, Slidedeck, LifeTime- en ODC Portal-toegang met (gesimuleerde) monitoring</w:t>
      </w:r>
    </w:p>
    <w:p>
      <w:pPr>
        <w:pStyle w:val="Heading2"/>
      </w:pPr>
      <w:r>
        <w:rPr>
          <w:color w:val="14213D"/>
        </w:rPr>
        <w:t>Lesdoelen</w:t>
      </w:r>
    </w:p>
    <w:p>
      <w:pPr>
        <w:pStyle w:val="ListNumber"/>
      </w:pPr>
      <w:r>
        <w:t>Landschapsbrede observability toepassen, verder dan module-specifieke performance-monitoring</w:t>
      </w:r>
    </w:p>
    <w:p>
      <w:pPr>
        <w:pStyle w:val="ListNumber"/>
      </w:pPr>
      <w:r>
        <w:t>Een gestructureerd incidentproces doorlopen: detecteren, triage, mitigeren, oplossen</w:t>
      </w:r>
    </w:p>
    <w:p>
      <w:pPr>
        <w:pStyle w:val="ListNumber"/>
      </w:pPr>
      <w:r>
        <w:t>Capaciteitsplanning toepassen als voorafgaande, geen reactieve actie</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14, 19, intro beheersing in productie</w:t>
            </w:r>
          </w:p>
        </w:tc>
      </w:tr>
      <w:tr>
        <w:tc>
          <w:tcPr>
            <w:tcW w:type="dxa" w:w="4320"/>
          </w:tcPr>
          <w:p>
            <w:r>
              <w:t>0:15–0:45</w:t>
            </w:r>
          </w:p>
        </w:tc>
        <w:tc>
          <w:tcPr>
            <w:tcW w:type="dxa" w:w="4320"/>
          </w:tcPr>
          <w:p>
            <w:r>
              <w:t>Reader 28.1–28.2, discussie landschapsbrede vs module-monitoring</w:t>
            </w:r>
          </w:p>
        </w:tc>
      </w:tr>
      <w:tr>
        <w:tc>
          <w:tcPr>
            <w:tcW w:type="dxa" w:w="4320"/>
          </w:tcPr>
          <w:p>
            <w:r>
              <w:t>0:45–1:15</w:t>
            </w:r>
          </w:p>
        </w:tc>
        <w:tc>
          <w:tcPr>
            <w:tcW w:type="dxa" w:w="4320"/>
          </w:tcPr>
          <w:p>
            <w:r>
              <w:t>Opdracht 28.1,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incidentrespons oefenen</w:t>
            </w:r>
          </w:p>
        </w:tc>
      </w:tr>
      <w:tr>
        <w:tc>
          <w:tcPr>
            <w:tcW w:type="dxa" w:w="4320"/>
          </w:tcPr>
          <w:p>
            <w:r>
              <w:t>2:15–2:45</w:t>
            </w:r>
          </w:p>
        </w:tc>
        <w:tc>
          <w:tcPr>
            <w:tcW w:type="dxa" w:w="4320"/>
          </w:tcPr>
          <w:p>
            <w:r>
              <w:t>Reader 28.3–28.4, reflectieopdracht 28.2</w:t>
            </w:r>
          </w:p>
        </w:tc>
      </w:tr>
      <w:tr>
        <w:tc>
          <w:tcPr>
            <w:tcW w:type="dxa" w:w="4320"/>
          </w:tcPr>
          <w:p>
            <w:r>
              <w:t>2:45–3:00</w:t>
            </w:r>
          </w:p>
        </w:tc>
        <w:tc>
          <w:tcPr>
            <w:tcW w:type="dxa" w:w="4320"/>
          </w:tcPr>
          <w:p>
            <w:r>
              <w:t>Vooruitblik deel 29 (tech lead als tegenspraak)</w:t>
            </w:r>
          </w:p>
        </w:tc>
      </w:tr>
    </w:tbl>
    <w:p/>
    <w:p>
      <w:pPr>
        <w:pStyle w:val="Heading2"/>
      </w:pPr>
      <w:r>
        <w:rPr>
          <w:color w:val="14213D"/>
        </w:rPr>
        <w:t>Didactische aandachtspunten</w:t>
      </w:r>
    </w:p>
    <w:p>
      <w:r>
        <w:rPr>
          <w:b/>
        </w:rPr>
        <w:t>De incidentsimulatie (28.A/B) werkt het beste als een verrassingselement — kondig de specifieke storing niet vooraf volledig aan.</w:t>
      </w:r>
      <w:r>
        <w:t xml:space="preserve"> Een onaangekondigde (binnen de grenzen van de opleidingsomgeving) storing dwingt deelnemers om daadwerkelijk het detecteren-triage-mitigeren-oplossen-proces te doorlopen, in plaats van een al bekend antwoord te reproduceren.</w:t>
      </w:r>
    </w:p>
    <w:p>
      <w:r>
        <w:rPr>
          <w:b/>
        </w:rPr>
        <w:t>Bewaak het onderscheid tussen mitigeren en oplossen — dit wordt vaak door elkaar gehaald.</w:t>
      </w:r>
      <w:r>
        <w:t xml:space="preserve"> Een rollback (mitigeren) voelt voor veel deelnemers als "het probleem is opgelost," terwijl de onderliggende codefout nog steeds bestaat en bij een volgende publicatiepoging opnieuw kan optreden. Dit onderscheid is het belangrijkste conceptuele punt van dit deel.</w:t>
      </w:r>
    </w:p>
    <w:p>
      <w:r>
        <w:rPr>
          <w:b/>
        </w:rPr>
        <w:t>Reflectieopdracht 28.2 (capaciteitsplanning) verdient een expliciete koppeling naar de bredere Wtp-casusdraad die door heel niveau 3 loopt.</w:t>
      </w:r>
      <w:r>
        <w:t xml:space="preserve"> Dit is niet een generiek IT-principe, maar een concreet, tijdgebonden risico voor Meridiaan — behandel het met die urgentie.</w:t>
      </w:r>
    </w:p>
    <w:p>
      <w:pPr>
        <w:pStyle w:val="Heading2"/>
      </w:pPr>
      <w:r>
        <w:rPr>
          <w:color w:val="14213D"/>
        </w:rPr>
        <w:t>Veelgestelde vragen</w:t>
      </w:r>
    </w:p>
    <w:p>
      <w:r>
        <w:rPr>
          <w:b/>
        </w:rPr>
        <w:t>"Is een rollback altijd de juiste eerste mitigatie?"</w:t>
      </w:r>
    </w:p>
    <w:p>
      <w:r>
        <w:t>Niet altijd — soms is een gerichte, kleinere correctie sneller en minder ingrijpend dan een volledige rollback. De keuze hangt af van de aard van het probleem; het punt van dit deel is het proces (detecteren-triage-mitigeren-oplossen), niet dat rollback de enige mitigatietechniek is.</w:t>
      </w:r>
    </w:p>
    <w:p>
      <w:r>
        <w:rPr>
          <w:b/>
        </w:rPr>
        <w:t>"Hoe vaak moet capaciteitsplanning herzien worden?"</w:t>
      </w:r>
    </w:p>
    <w:p>
      <w:r>
        <w:t>Geen vast interval te geven zonder specifieke context — de vuistregel is: bij elke bekende, voorspelbare gebeurtenis met verwachte belastingsverandering (zoals de Wtp-deadline), niet alleen op een vaste kalendercyclus.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