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29 — De tech lead als tegenspraak</w:t>
      </w:r>
    </w:p>
    <w:p>
      <w:r>
        <w:rPr>
          <w:b/>
        </w:rPr>
        <w:t>Duur:</w:t>
      </w:r>
      <w:r>
        <w:t xml:space="preserve"> 1 dagdeel (± 3 uur)</w:t>
      </w:r>
    </w:p>
    <w:p>
      <w:r>
        <w:rPr>
          <w:b/>
        </w:rPr>
        <w:t>Vereiste voorkennis:</w:t>
      </w:r>
      <w:r>
        <w:t xml:space="preserve"> Deel 17, deel 22-28</w:t>
      </w:r>
    </w:p>
    <w:p>
      <w:r>
        <w:rPr>
          <w:b/>
        </w:rPr>
        <w:t>Materialen:</w:t>
      </w:r>
      <w:r>
        <w:t xml:space="preserve"> Reader, Werkboek, Slidedeck</w:t>
      </w:r>
    </w:p>
    <w:p>
      <w:pPr>
        <w:pStyle w:val="Heading2"/>
      </w:pPr>
      <w:r>
        <w:rPr>
          <w:color w:val="14213D"/>
        </w:rPr>
        <w:t>Lesdoelen</w:t>
      </w:r>
    </w:p>
    <w:p>
      <w:pPr>
        <w:pStyle w:val="ListNumber"/>
      </w:pPr>
      <w:r>
        <w:t>De rolgrens tussen adviseren en beslissen expliciet kunnen toelichten</w:t>
      </w:r>
    </w:p>
    <w:p>
      <w:pPr>
        <w:pStyle w:val="ListNumber"/>
      </w:pPr>
      <w:r>
        <w:t>Onderscheid maken tussen tegenspraak (legitiem) en obstructie (niet legitiem)</w:t>
      </w:r>
    </w:p>
    <w:p>
      <w:pPr>
        <w:pStyle w:val="ListNumber"/>
      </w:pPr>
      <w:r>
        <w:t>Niet-onderhandelbare grenzen herkennen en daadwerkelijk kunnen verdedigen in een gesprek</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22-28, intro rolgrens expliciet maken</w:t>
            </w:r>
          </w:p>
        </w:tc>
      </w:tr>
      <w:tr>
        <w:tc>
          <w:tcPr>
            <w:tcW w:type="dxa" w:w="4320"/>
          </w:tcPr>
          <w:p>
            <w:r>
              <w:t>0:15–0:45</w:t>
            </w:r>
          </w:p>
        </w:tc>
        <w:tc>
          <w:tcPr>
            <w:tcW w:type="dxa" w:w="4320"/>
          </w:tcPr>
          <w:p>
            <w:r>
              <w:t>Reader 29.1–29.3, discussie waarom "beste advies geven" niet volstaat</w:t>
            </w:r>
          </w:p>
        </w:tc>
      </w:tr>
      <w:tr>
        <w:tc>
          <w:tcPr>
            <w:tcW w:type="dxa" w:w="4320"/>
          </w:tcPr>
          <w:p>
            <w:r>
              <w:t>0:45–1:15</w:t>
            </w:r>
          </w:p>
        </w:tc>
        <w:tc>
          <w:tcPr>
            <w:tcW w:type="dxa" w:w="4320"/>
          </w:tcPr>
          <w:p>
            <w:r>
              <w:t>Opdracht 29.1, nabespreking</w:t>
            </w:r>
          </w:p>
        </w:tc>
      </w:tr>
      <w:tr>
        <w:tc>
          <w:tcPr>
            <w:tcW w:type="dxa" w:w="4320"/>
          </w:tcPr>
          <w:p>
            <w:r>
              <w:t>1:15–1:30</w:t>
            </w:r>
          </w:p>
        </w:tc>
        <w:tc>
          <w:tcPr>
            <w:tcW w:type="dxa" w:w="4320"/>
          </w:tcPr>
          <w:p>
            <w:r>
              <w:t>Pauze</w:t>
            </w:r>
          </w:p>
        </w:tc>
      </w:tr>
      <w:tr>
        <w:tc>
          <w:tcPr>
            <w:tcW w:type="dxa" w:w="4320"/>
          </w:tcPr>
          <w:p>
            <w:r>
              <w:t>1:30–2:15</w:t>
            </w:r>
          </w:p>
        </w:tc>
        <w:tc>
          <w:tcPr>
            <w:tcW w:type="dxa" w:w="4320"/>
          </w:tcPr>
          <w:p>
            <w:r>
              <w:t>Opdracht 29.A: rollenspel het lastige boardgesprek</w:t>
            </w:r>
          </w:p>
        </w:tc>
      </w:tr>
      <w:tr>
        <w:tc>
          <w:tcPr>
            <w:tcW w:type="dxa" w:w="4320"/>
          </w:tcPr>
          <w:p>
            <w:r>
              <w:t>2:15–2:45</w:t>
            </w:r>
          </w:p>
        </w:tc>
        <w:tc>
          <w:tcPr>
            <w:tcW w:type="dxa" w:w="4320"/>
          </w:tcPr>
          <w:p>
            <w:r>
              <w:t>Reader 29.4 nabespreken vanuit de rollenspel-ervaring, reflectieopdracht 29.2</w:t>
            </w:r>
          </w:p>
        </w:tc>
      </w:tr>
      <w:tr>
        <w:tc>
          <w:tcPr>
            <w:tcW w:type="dxa" w:w="4320"/>
          </w:tcPr>
          <w:p>
            <w:r>
              <w:t>2:45–3:00</w:t>
            </w:r>
          </w:p>
        </w:tc>
        <w:tc>
          <w:tcPr>
            <w:tcW w:type="dxa" w:w="4320"/>
          </w:tcPr>
          <w:p>
            <w:r>
              <w:t>Vooruitblik deel 30 (masterproef)</w:t>
            </w:r>
          </w:p>
        </w:tc>
      </w:tr>
    </w:tbl>
    <w:p/>
    <w:p>
      <w:pPr>
        <w:pStyle w:val="Heading2"/>
      </w:pPr>
      <w:r>
        <w:rPr>
          <w:color w:val="14213D"/>
        </w:rPr>
        <w:t>Didactische aandachtspunten</w:t>
      </w:r>
    </w:p>
    <w:p>
      <w:r>
        <w:rPr>
          <w:b/>
        </w:rPr>
        <w:t>Het rollenspel (29.A) is het emotionele hoogtepunt van dit deel — bewaak de tijd strikt (vijf minuten) en debrief grondig.</w:t>
      </w:r>
      <w:r>
        <w:t xml:space="preserve"> Laat na elk rollenspel-paar kort reflecteren: wat voelde lastig, wat werkte, wat zou de tech lead de volgende keer anders doen? Dit is directe voorbereiding op de masterproef in deel 30, waar een vergelijkbare dynamiek in een grotere simulatie terugkomt.</w:t>
      </w:r>
    </w:p>
    <w:p>
      <w:r>
        <w:rPr>
          <w:b/>
        </w:rPr>
        <w:t>Speel zelf, of laat een assistent-docent, bewust de rol van het aandringende boardlid met realistische, plausibele argumenten (kostenbesparing is een legitiem zakelijk belang) — maak het niet te makkelijk om de tech lead gelijk te geven.</w:t>
      </w:r>
      <w:r>
        <w:t xml:space="preserve"> Een te zwak tegenargument ondermijnt de waarde van de oefening; het boardlid moet een oprecht overtuigend punt maken, zodat de tech lead moet werken om de grens helder te maken.</w:t>
      </w:r>
    </w:p>
    <w:p>
      <w:r>
        <w:rPr>
          <w:b/>
        </w:rPr>
        <w:t>Opdracht 29.1b is bewust een grensgeval zonder harde grens — bewaak dat deelnemers niet elk ongemakkelijk verzoek automatisch als "harde grens" categoriseren.</w:t>
      </w:r>
      <w:r>
        <w:t xml:space="preserve"> Overmatige categorisering van alles als niet-onderhandelbaar ondermijnt juist de geloofwaardigheid van de wél harde grenzen; het onderscheid moet scherp blijven.</w:t>
      </w:r>
    </w:p>
    <w:p>
      <w:pPr>
        <w:pStyle w:val="Heading2"/>
      </w:pPr>
      <w:r>
        <w:rPr>
          <w:color w:val="14213D"/>
        </w:rPr>
        <w:t>Veelgestelde vragen</w:t>
      </w:r>
    </w:p>
    <w:p>
      <w:r>
        <w:rPr>
          <w:b/>
        </w:rPr>
        <w:t>"Wat als de tech lead het gevoel heeft dat een genomen besluit uiteindelijk toch een harde grens overschrijdt, ook al leek dat eerst niet zo?"</w:t>
      </w:r>
    </w:p>
    <w:p>
      <w:r>
        <w:t>Dan herhaalt zich het proces uit 29.2: opnieuw, expliciet, met nieuwe informatie het punt inbrengen — dit keer niet als advies vooraf, maar als een dringende heroverweging. Zwijgen blijft ook dan geen optie.</w:t>
      </w:r>
    </w:p>
    <w:p>
      <w:r>
        <w:rPr>
          <w:b/>
        </w:rPr>
        <w:t>"Is deze rolgrens uniek voor OutSystems, of geldt die breder?"</w:t>
      </w:r>
    </w:p>
    <w:p>
      <w:r>
        <w:t>Breder — dit is dezelfde rolgrens die in de EA- en SA-cursus wordt behandeld, hier specifiek toegepast op de OutSystems-tech-lead-context. Herhaling over de cursusfamilie heen is bewust, omdat het een van de meest onderschatte vaardigheden in technisch leiderschap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