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4213D"/>
        </w:rPr>
        <w:t>Deel 29 — De tech lead als tegenspraak: adviseren, niet besluiten</w:t>
      </w:r>
    </w:p>
    <w:p>
      <w:pPr>
        <w:pStyle w:val="Heading2"/>
      </w:pPr>
      <w:r>
        <w:rPr>
          <w:color w:val="14213D"/>
        </w:rPr>
        <w:t>Niveau 3 · Leidend · OutSystems (O11 &amp; ODC)</w:t>
      </w:r>
    </w:p>
    <w:p>
      <w:pPr>
        <w:spacing w:before="80" w:after="80"/>
        <w:pBdr>
          <w:bottom w:val="single" w:sz="6" w:color="E9A13B"/>
        </w:pBdr>
      </w:pPr>
    </w:p>
    <w:p>
      <w:pPr>
        <w:pStyle w:val="Heading2"/>
      </w:pPr>
      <w:r>
        <w:rPr>
          <w:color w:val="14213D"/>
        </w:rPr>
        <w:t>29.1 De rolgrens die door heel niveau 3 heen liep</w:t>
      </w:r>
    </w:p>
    <w:p>
      <w:r>
        <w:t>Elk deel van niveau 3 herhaalde een variant van dezelfde grens: de tech lead bereidt voor, het Architecture Board beslist (deel 22); de tech lead brengt migratie-opties en risico's in kaart, het board kiest (deel 23); de tech lead schat kosten in, het board weegt af tegen budget (deel 25). Dit slotdeel voor de masterproef maakt die rolgrens expliciet tot onderwerp, in plaats van een terugkerend zijdetail.</w:t>
      </w:r>
    </w:p>
    <w:p>
      <w:pPr>
        <w:spacing w:before="80" w:after="80"/>
        <w:pBdr>
          <w:bottom w:val="single" w:sz="6" w:color="E9A13B"/>
        </w:pBdr>
      </w:pPr>
    </w:p>
    <w:p>
      <w:pPr>
        <w:pStyle w:val="Heading2"/>
      </w:pPr>
      <w:r>
        <w:rPr>
          <w:color w:val="14213D"/>
        </w:rPr>
        <w:t>29.2 Waarom "gewoon het beste advies geven" niet volstaat</w:t>
      </w:r>
    </w:p>
    <w:p>
      <w:r>
        <w:t>Een tech lead die alleen technisch correcte adviezen geeft, doet nog niet automatisch het werk goed. Drie aanvullende vaardigheden maken het verschil:</w:t>
      </w:r>
    </w:p>
    <w:p>
      <w:r>
        <w:rPr>
          <w:b/>
        </w:rPr>
        <w:t>Overtuigen zonder te forceren.</w:t>
      </w:r>
      <w:r>
        <w:t xml:space="preserve"> Als het Architecture Board een advies negeert dat je sterk onderbouwd acht, is escaleren (het punt opnieuw, scherper, met extra onderbouwing inbrengen) legitiem — het besluit zelf nemen buiten het board om, niet.</w:t>
      </w:r>
    </w:p>
    <w:p>
      <w:r>
        <w:rPr>
          <w:b/>
        </w:rPr>
        <w:t>Onzekerheid expliciet maken, niet verbloemen.</w:t>
      </w:r>
      <w:r>
        <w:t xml:space="preserve"> Deel 23 toonde al hoe een goed adviesdocument onzekerheden benoemt ("een technische spike is nodig") in plaats van een schijnzekerheid te presenteren. Dit is geen zwakte in het advies — het is waarheidsgetrouwheid die het board nodig heeft om een geïnformeerd besluit te nemen.</w:t>
      </w:r>
    </w:p>
    <w:p>
      <w:r>
        <w:rPr>
          <w:b/>
        </w:rPr>
        <w:t>Tegenspraak bieden, ook als het ongemakkelijk is.</w:t>
      </w:r>
      <w:r>
        <w:t xml:space="preserve"> Als het board een richting kiest die de tech lead voor riskant houdt (bijvoorbeeld: alles ineens migreren zonder gecontroleerde uitrol, tegen het advies uit deel 19 en 23 in), is zwijgen geen neutrale optie. De tech lead is verplicht het risico opnieuw, expliciet te benoemen — ook nadat een besluit al is genomen, als nieuwe informatie daartoe aanleiding geeft.</w:t>
      </w:r>
    </w:p>
    <w:p>
      <w:pPr>
        <w:spacing w:before="80" w:after="80"/>
        <w:pBdr>
          <w:bottom w:val="single" w:sz="6" w:color="E9A13B"/>
        </w:pBdr>
      </w:pPr>
    </w:p>
    <w:p>
      <w:pPr>
        <w:pStyle w:val="Heading2"/>
      </w:pPr>
      <w:r>
        <w:rPr>
          <w:color w:val="14213D"/>
        </w:rPr>
        <w:t>29.3 De grens tussen tegenspraak en obstructie</w:t>
      </w:r>
    </w:p>
    <w:p>
      <w:r>
        <w:t xml:space="preserve">Tegenspraak is niet hetzelfde als het besluit blokkeren of vertragen uit onvrede. Zodra het board — met het advies van de tech lead volledig gehoord — een andere keuze maakt dan de tech lead zou adviseren, is de rol van de tech lead om die keuze </w:t>
      </w:r>
      <w:r>
        <w:rPr>
          <w:b/>
        </w:rPr>
        <w:t>loyaal uit te voeren</w:t>
      </w:r>
      <w:r>
        <w:t>, tenzij de keuze een grens overschrijdt die niet onderhandelbaar is (bijvoorbeeld een AVG-schending, deel 17, of een AI-beslissing zonder menselijke verantwoording, deel 27). Dit onderscheid — mandaat versus invloed, overtuigen versus zwijgend uitvoeren versus nooit-toestaan — is exact de "DNB-toets" die je in de EA-cursus als ethische sneltest tegenkwam, hier toegepast op technisch leiderschap.</w:t>
      </w:r>
    </w:p>
    <w:p>
      <w:pPr>
        <w:spacing w:before="80" w:after="80"/>
        <w:pBdr>
          <w:bottom w:val="single" w:sz="6" w:color="E9A13B"/>
        </w:pBdr>
      </w:pPr>
    </w:p>
    <w:p>
      <w:pPr>
        <w:pStyle w:val="Heading2"/>
      </w:pPr>
      <w:r>
        <w:rPr>
          <w:color w:val="14213D"/>
        </w:rPr>
        <w:t>29.4 Casuïstiek: drie situaties</w:t>
      </w:r>
    </w:p>
    <w:p>
      <w:r>
        <w:rPr>
          <w:b/>
        </w:rPr>
        <w:t>Situatie 1.</w:t>
      </w:r>
      <w:r>
        <w:t xml:space="preserve"> Het board kiest voor een agressievere migratietijdlijn dan de tech lead veilig acht, gebaseerd op externe druk (de Wtp-deadline). De tech lead heeft de risico's al benoemd. </w:t>
      </w:r>
      <w:r>
        <w:rPr>
          <w:i/>
        </w:rPr>
        <w:t>Reactie: uitvoeren, met een expliciet gedocumenteerd risicologboek zodat eventuele problemen niet als verrassing worden ervaren.</w:t>
      </w:r>
    </w:p>
    <w:p>
      <w:r>
        <w:rPr>
          <w:b/>
        </w:rPr>
        <w:t>Situatie 2.</w:t>
      </w:r>
      <w:r>
        <w:t xml:space="preserve"> Een teamlid stelt voor om, om tijd te besparen, de AuditLog (deel 17) tijdelijk uit te schakelen tijdens een grote migratieactie. </w:t>
      </w:r>
      <w:r>
        <w:rPr>
          <w:i/>
        </w:rPr>
        <w:t>Reactie: harde grens — dit raakt AVG-naleving en auditability onder DNB/AFM-toezicht, niet onderhandelbaar, ook niet tijdelijk.</w:t>
      </w:r>
    </w:p>
    <w:p>
      <w:r>
        <w:rPr>
          <w:b/>
        </w:rPr>
        <w:t>Situatie 3.</w:t>
      </w:r>
      <w:r>
        <w:t xml:space="preserve"> Het board wil een AI-component (deel 27) inzetten om mutatiegoedkeuring te versnellen, zonder menselijke tussenkomst, puur op basis van een kostenbesparingsargument. </w:t>
      </w:r>
      <w:r>
        <w:rPr>
          <w:i/>
        </w:rPr>
        <w:t>Reactie: harde grens, net als situatie 2 — expliciet benoemen waarom dit de grens uit deel 27.3 overschrijdt, en escaleren indien nodig.</w:t>
      </w:r>
    </w:p>
    <w:p>
      <w:pPr>
        <w:spacing w:before="80" w:after="80"/>
        <w:pBdr>
          <w:bottom w:val="single" w:sz="6" w:color="E9A13B"/>
        </w:pBdr>
      </w:pPr>
    </w:p>
    <w:p>
      <w:pPr>
        <w:pStyle w:val="Heading2"/>
      </w:pPr>
      <w:r>
        <w:rPr>
          <w:color w:val="14213D"/>
        </w:rPr>
        <w:t>Kernpunten</w:t>
      </w:r>
    </w:p>
    <w:p>
      <w:pPr>
        <w:pStyle w:val="ListBullet"/>
      </w:pPr>
      <w:r>
        <w:t>De rolgrens (voorbereiden versus beslissen) is het centrale thema van niveau 3, hier expliciet gemaakt</w:t>
      </w:r>
    </w:p>
    <w:p>
      <w:pPr>
        <w:pStyle w:val="ListBullet"/>
      </w:pPr>
      <w:r>
        <w:t>Overtuigen, onzekerheid benoemen en tegenspraak bieden zijn actieve vaardigheden, niet passief "het beste advies geven"</w:t>
      </w:r>
    </w:p>
    <w:p>
      <w:pPr>
        <w:pStyle w:val="ListBullet"/>
      </w:pPr>
      <w:r>
        <w:t>Tegenspraak eindigt bij een genomen besluit — loyale uitvoering, tenzij een niet-onderhandelbare grens wordt overschreden</w:t>
      </w:r>
    </w:p>
    <w:p>
      <w:pPr>
        <w:pStyle w:val="ListBullet"/>
      </w:pPr>
      <w:r>
        <w:t>Niet-onderhandelbare grenzen: AVG/audit-naleving en onbegeleide AI-beslissingen met individuele impact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