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30 — Masterproef</w:t>
      </w:r>
    </w:p>
    <w:p>
      <w:r>
        <w:rPr>
          <w:b/>
        </w:rPr>
        <w:t>Duur:</w:t>
      </w:r>
      <w:r>
        <w:t xml:space="preserve"> 2 dagdelen (± 6 uur totaal), verdedigingstijd schaalt met groepsgrootte</w:t>
      </w:r>
    </w:p>
    <w:p>
      <w:r>
        <w:rPr>
          <w:b/>
        </w:rPr>
        <w:t>Vereiste voorkennis:</w:t>
      </w:r>
      <w:r>
        <w:t xml:space="preserve"> Niveau 1, 2 en 3 volledig</w:t>
      </w:r>
    </w:p>
    <w:p>
      <w:r>
        <w:rPr>
          <w:b/>
        </w:rPr>
        <w:t>Materialen:</w:t>
      </w:r>
      <w:r>
        <w:t xml:space="preserve"> Reader, Werkboek (rubric), Slidedeck</w:t>
      </w:r>
    </w:p>
    <w:p>
      <w:pPr>
        <w:pStyle w:val="Heading2"/>
      </w:pPr>
      <w:r>
        <w:rPr>
          <w:color w:val="14213D"/>
        </w:rPr>
        <w:t>Lesdoelen</w:t>
      </w:r>
    </w:p>
    <w:p>
      <w:pPr>
        <w:pStyle w:val="ListNumber"/>
      </w:pPr>
      <w:r>
        <w:t>Alle drie niveaus van de cursus synthetiseren in één samenhangend advies</w:t>
      </w:r>
    </w:p>
    <w:p>
      <w:pPr>
        <w:pStyle w:val="ListNumber"/>
      </w:pPr>
      <w:r>
        <w:t>Een realistisch, beargumenteerd "nee, dit niet" kunnen formuleren en verdedigen onder externe druk</w:t>
      </w:r>
    </w:p>
    <w:p>
      <w:pPr>
        <w:pStyle w:val="ListNumber"/>
      </w:pPr>
      <w:r>
        <w:t>Compliance-grenzen expliciet handhaven, ook in een tijdsdruk-scenario</w:t>
      </w:r>
    </w:p>
    <w:p>
      <w:pPr>
        <w:pStyle w:val="Heading2"/>
      </w:pPr>
      <w:r>
        <w:rPr>
          <w:color w:val="14213D"/>
        </w:rPr>
        <w:t>Tijdsindeling Dagdeel A</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0:00–0:20</w:t>
            </w:r>
          </w:p>
        </w:tc>
        <w:tc>
          <w:tcPr>
            <w:tcW w:type="dxa" w:w="4320"/>
          </w:tcPr>
          <w:p>
            <w:r>
              <w:t>Intro masterproef, presentatie van het scenario</w:t>
            </w:r>
          </w:p>
        </w:tc>
      </w:tr>
      <w:tr>
        <w:tc>
          <w:tcPr>
            <w:tcW w:type="dxa" w:w="4320"/>
          </w:tcPr>
          <w:p>
            <w:r>
              <w:t>0:20–2:30</w:t>
            </w:r>
          </w:p>
        </w:tc>
        <w:tc>
          <w:tcPr>
            <w:tcW w:type="dxa" w:w="4320"/>
          </w:tcPr>
          <w:p>
            <w:r>
              <w:t>Zelfstandige/groepswerktijd: adviesdocument opstellen</w:t>
            </w:r>
          </w:p>
        </w:tc>
      </w:tr>
      <w:tr>
        <w:tc>
          <w:tcPr>
            <w:tcW w:type="dxa" w:w="4320"/>
          </w:tcPr>
          <w:p>
            <w:r>
              <w:t>2:30–3:00</w:t>
            </w:r>
          </w:p>
        </w:tc>
        <w:tc>
          <w:tcPr>
            <w:tcW w:type="dxa" w:w="4320"/>
          </w:tcPr>
          <w:p>
            <w:r>
              <w:t>Korte peer-feedbackronde tussen groepen (optioneel, indien tijd)</w:t>
            </w:r>
          </w:p>
        </w:tc>
      </w:tr>
    </w:tbl>
    <w:p/>
    <w:p>
      <w:pPr>
        <w:pStyle w:val="Heading2"/>
      </w:pPr>
      <w:r>
        <w:rPr>
          <w:color w:val="14213D"/>
        </w:rPr>
        <w:t>Tijdsindeling Dagdeel B</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Herintroductie scenario, rolverdeling boardsimulatie</w:t>
            </w:r>
          </w:p>
        </w:tc>
      </w:tr>
      <w:tr>
        <w:tc>
          <w:tcPr>
            <w:tcW w:type="dxa" w:w="4320"/>
          </w:tcPr>
          <w:p>
            <w:r>
              <w:t>0:15–2:45</w:t>
            </w:r>
          </w:p>
        </w:tc>
        <w:tc>
          <w:tcPr>
            <w:tcW w:type="dxa" w:w="4320"/>
          </w:tcPr>
          <w:p>
            <w:r>
              <w:t>Verdedigingen (35 min per deelnemer/groepje)</w:t>
            </w:r>
          </w:p>
        </w:tc>
      </w:tr>
      <w:tr>
        <w:tc>
          <w:tcPr>
            <w:tcW w:type="dxa" w:w="4320"/>
          </w:tcPr>
          <w:p>
            <w:r>
              <w:t>2:45–3:00</w:t>
            </w:r>
          </w:p>
        </w:tc>
        <w:tc>
          <w:tcPr>
            <w:tcW w:type="dxa" w:w="4320"/>
          </w:tcPr>
          <w:p>
            <w:r>
              <w:t>Gezamenlijke afsluiting: reflectie op de hele cursus</w:t>
            </w:r>
          </w:p>
        </w:tc>
      </w:tr>
    </w:tbl>
    <w:p/>
    <w:p>
      <w:pPr>
        <w:pStyle w:val="Heading2"/>
      </w:pPr>
      <w:r>
        <w:rPr>
          <w:color w:val="14213D"/>
        </w:rPr>
        <w:t>Didactische aandachtspunten</w:t>
      </w:r>
    </w:p>
    <w:p>
      <w:r>
        <w:rPr>
          <w:b/>
        </w:rPr>
        <w:t>Het scenario is bewust onhaalbaar in volledige vorm — communiceer dit NIET vooraf aan de deelnemers.</w:t>
      </w:r>
      <w:r>
        <w:t xml:space="preserve"> Laat hen dat zelf ontdekken tijdens het opstellen van het adviesdocument. Als een groep tijdens dagdeel A een volledig "ja, alles lukt binnen acht weken"-plan probeert te maken, laat ze doorwerken tot ze zelf tegen de onmogelijkheid aanlopen — dat moment van zelf-ontdekken is waardevoller dan een vroegtijdige waarschuwing.</w:t>
      </w:r>
    </w:p>
    <w:p>
      <w:r>
        <w:rPr>
          <w:b/>
        </w:rPr>
        <w:t>Het stuurgroeplid moet oprecht en herhaaldelijk aandringen tijdens de verdediging — dit is de kern van de toetsing.</w:t>
      </w:r>
      <w:r>
        <w:t xml:space="preserve"> Een te snel toegevende stuurgroep-acteur (docent of assistent) ondermijnt de waarde van de hele oefening. Blijf, met legitieme zakelijke argumenten (de Wtp-deadline is wettelijk, niet onderhandelbaar), aandringen totdat de deelnemer daadwerkelijk stand moet houden of daadwerkelijk zwicht — beide uitkomsten zijn waardevolle, zichtbare data voor de beoordeling.</w:t>
      </w:r>
    </w:p>
    <w:p>
      <w:r>
        <w:rPr>
          <w:b/>
        </w:rPr>
        <w:t>Sluit de hele cursus af met een expliciete reflectie op de cursusboog: van Verzuimmeldingen tot deze masterproef.</w:t>
      </w:r>
      <w:r>
        <w:t xml:space="preserve"> Dit is niet alleen ceremonieel — het helpt deelnemers de samenhang tussen de dertig delen bewust te maken, in plaats van dertig losse lessen te hebben ervaren. Vraag deelnemers zelf te benoemen welk deel hen het meest heeft verrast of veranderd in hoe ze naar OutSystems (of naar low-code in het algemeen) kijken.</w:t>
      </w:r>
    </w:p>
    <w:p>
      <w:pPr>
        <w:pStyle w:val="Heading2"/>
      </w:pPr>
      <w:r>
        <w:rPr>
          <w:color w:val="14213D"/>
        </w:rPr>
        <w:t>Veelgestelde vragen</w:t>
      </w:r>
    </w:p>
    <w:p>
      <w:r>
        <w:rPr>
          <w:b/>
        </w:rPr>
        <w:t>"Wat als een deelnemer tijdens de verdediging alsnog volledig zwicht voor de stuurgroepdruk?"</w:t>
      </w:r>
    </w:p>
    <w:p>
      <w:r>
        <w:t>Beoordeel dit eerlijk volgens de rubric (0 punten op "omgaan met externe druk") — dit is precies het gedrag dat deel 29 als problematisch identificeerde, en de masterproef moet dat consequent en zichtbaar toetsen, ook als dat een lager cijfer betekent dan de deelnemer had gehoopt.</w:t>
      </w:r>
    </w:p>
    <w:p>
      <w:r>
        <w:rPr>
          <w:b/>
        </w:rPr>
        <w:t>"Is er een 'juiste' verdeling van wat wel en niet binnen acht weken past?"</w:t>
      </w:r>
    </w:p>
    <w:p>
      <w:r>
        <w:t>Nee, bewust niet — meerdere redelijke verdelingen zijn mogelijk, zolang de onderbouwing sterk is en de niet-onderhandelbare grenzen (AVG, audit, geen onbegeleide AI-beslissingen) intact blijven. Beoordeel het denkproces en de verdediging, niet een vooraf vastgestelde "juiste" oplossing.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