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30 — Masterproef</w:t>
      </w:r>
    </w:p>
    <w:p>
      <w:pPr>
        <w:spacing w:before="80" w:after="80"/>
        <w:pBdr>
          <w:bottom w:val="single" w:sz="6" w:color="E9A13B"/>
        </w:pBdr>
      </w:pPr>
    </w:p>
    <w:p>
      <w:pPr>
        <w:pStyle w:val="Heading2"/>
      </w:pPr>
      <w:r>
        <w:rPr>
          <w:color w:val="14213D"/>
        </w:rPr>
        <w:t>Dagdeel A — Voorbereiding</w:t>
      </w:r>
    </w:p>
    <w:p>
      <w:pPr>
        <w:pStyle w:val="Heading3"/>
      </w:pPr>
      <w:r>
        <w:rPr>
          <w:color w:val="2563A8"/>
        </w:rPr>
        <w:t>Opdracht (individueel of in kleine groep)</w:t>
      </w:r>
    </w:p>
    <w:p>
      <w:r>
        <w:t>Stel het adviesdocument op volgens de checklist in reader 30.3. Gebruik expliciet:</w:t>
      </w:r>
    </w:p>
    <w:p>
      <w:pPr>
        <w:pStyle w:val="ListBullet"/>
      </w:pPr>
      <w:r>
        <w:t>Het beslismodel uit deel 23 (schuld, BPT, samenhang) om te bepalen wat prioriteit krijgt</w:t>
      </w:r>
    </w:p>
    <w:p>
      <w:pPr>
        <w:pStyle w:val="ListBullet"/>
      </w:pPr>
      <w:r>
        <w:t>De kostenlogica uit deel 25 om de acht weken realistisch te verdelen over de geraakte satellieten</w:t>
      </w:r>
    </w:p>
    <w:p>
      <w:pPr>
        <w:pStyle w:val="ListBullet"/>
      </w:pPr>
      <w:r>
        <w:t>De harde grenzen uit deel 17 en 27 als toetssteen voor elke voorgestelde noodoplossing</w:t>
      </w:r>
    </w:p>
    <w:p>
      <w:pPr>
        <w:pStyle w:val="Heading3"/>
      </w:pPr>
      <w:r>
        <w:rPr>
          <w:color w:val="2563A8"/>
        </w:rPr>
        <w:t>Voorbereidingsvragen per rol (ter voorbereiding op dagdeel B)</w:t>
      </w:r>
    </w:p>
    <w:p>
      <w:r>
        <w:rPr>
          <w:b/>
        </w:rPr>
        <w:t>Voorzitter Architecture Board:</w:t>
      </w:r>
      <w:r>
        <w:t xml:space="preserve"> Blijft de laagindeling (deel 11) intact bij de voorgestelde noodoplossing, of ontstaat er tijdelijke technische schuld die expliciet benoemd moet worden?</w:t>
      </w:r>
    </w:p>
    <w:p>
      <w:r>
        <w:rPr>
          <w:b/>
        </w:rPr>
        <w:t>IT-directeur:</w:t>
      </w:r>
      <w:r>
        <w:t xml:space="preserve"> Wat is het concrete rollback-scenario (deel 19) als de noodoplossing zelf faalt binnen de acht weken?</w:t>
      </w:r>
    </w:p>
    <w:p>
      <w:r>
        <w:rPr>
          <w:b/>
        </w:rPr>
        <w:t>Stuurgroeplid:</w:t>
      </w:r>
      <w:r>
        <w:t xml:space="preserve"> Wat kost het NIET halen van de volledige Wtp-conformiteit voor de geraakte satellieten, in vergelijking met de kosten van de noodoplossing?</w:t>
      </w:r>
    </w:p>
    <w:p>
      <w:r>
        <w:rPr>
          <w:b/>
        </w:rPr>
        <w:t>Privacyfunctionaris:</w:t>
      </w:r>
      <w:r>
        <w:t xml:space="preserve"> Toon expliciet aan dat de noodoplossing niet leidt tot een tijdelijke, stilzwijgende versoepeling van autorisatie of audit.</w:t>
      </w:r>
    </w:p>
    <w:p>
      <w:pPr>
        <w:spacing w:before="80" w:after="80"/>
        <w:pBdr>
          <w:bottom w:val="single" w:sz="6" w:color="E9A13B"/>
        </w:pBdr>
      </w:pPr>
    </w:p>
    <w:p>
      <w:pPr>
        <w:pStyle w:val="Heading2"/>
      </w:pPr>
      <w:r>
        <w:rPr>
          <w:color w:val="14213D"/>
        </w:rPr>
        <w:t>Dagdeel B — Verdediging</w:t>
      </w:r>
    </w:p>
    <w:p>
      <w:pPr>
        <w:pStyle w:val="Heading3"/>
      </w:pPr>
      <w:r>
        <w:rPr>
          <w:color w:val="2563A8"/>
        </w:rPr>
        <w:t>Rubric (vijf criteria, ieder 0-2 punten)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Criterium</w:t>
            </w:r>
          </w:p>
        </w:tc>
        <w:tc>
          <w:tcPr>
            <w:tcW w:type="dxa" w:w="2160"/>
          </w:tcPr>
          <w:p>
            <w:r>
              <w:rPr>
                <w:b/>
              </w:rPr>
              <w:t>0 punten</w:t>
            </w:r>
          </w:p>
        </w:tc>
        <w:tc>
          <w:tcPr>
            <w:tcW w:type="dxa" w:w="2160"/>
          </w:tcPr>
          <w:p>
            <w:r>
              <w:rPr>
                <w:b/>
              </w:rPr>
              <w:t>1 punt</w:t>
            </w:r>
          </w:p>
        </w:tc>
        <w:tc>
          <w:tcPr>
            <w:tcW w:type="dxa" w:w="2160"/>
          </w:tcPr>
          <w:p>
            <w:r>
              <w:rPr>
                <w:b/>
              </w:rPr>
              <w:t>2 punten</w:t>
            </w:r>
          </w:p>
        </w:tc>
      </w:tr>
      <w:tr>
        <w:tc>
          <w:tcPr>
            <w:tcW w:type="dxa" w:w="2160"/>
          </w:tcPr>
          <w:p>
            <w:r>
              <w:rPr>
                <w:b/>
              </w:rPr>
              <w:t>Realisme van de inschatting</w:t>
            </w:r>
          </w:p>
        </w:tc>
        <w:tc>
          <w:tcPr>
            <w:tcW w:type="dxa" w:w="2160"/>
          </w:tcPr>
          <w:p>
            <w:r>
              <w:t>Belooft alles binnen acht weken, zonder onderbouwing</w:t>
            </w:r>
          </w:p>
        </w:tc>
        <w:tc>
          <w:tcPr>
            <w:tcW w:type="dxa" w:w="2160"/>
          </w:tcPr>
          <w:p>
            <w:r>
              <w:t>Deels realistisch, met zwakke onderbouwing</w:t>
            </w:r>
          </w:p>
        </w:tc>
        <w:tc>
          <w:tcPr>
            <w:tcW w:type="dxa" w:w="2160"/>
          </w:tcPr>
          <w:p>
            <w:r>
              <w:t>Concreet, beargumenteerd, gebaseerd op het beslismodel</w:t>
            </w:r>
          </w:p>
        </w:tc>
      </w:tr>
      <w:tr>
        <w:tc>
          <w:tcPr>
            <w:tcW w:type="dxa" w:w="2160"/>
          </w:tcPr>
          <w:p>
            <w:r>
              <w:rPr>
                <w:b/>
              </w:rPr>
              <w:t>Kwaliteit van het "nee, dit niet"</w:t>
            </w:r>
          </w:p>
        </w:tc>
        <w:tc>
          <w:tcPr>
            <w:tcW w:type="dxa" w:w="2160"/>
          </w:tcPr>
          <w:p>
            <w:r>
              <w:t>Geen expliciet "nee" — alles wordt beloofd</w:t>
            </w:r>
          </w:p>
        </w:tc>
        <w:tc>
          <w:tcPr>
            <w:tcW w:type="dxa" w:w="2160"/>
          </w:tcPr>
          <w:p>
            <w:r>
              <w:t>Een "nee" aanwezig, zwak onderbouwd</w:t>
            </w:r>
          </w:p>
        </w:tc>
        <w:tc>
          <w:tcPr>
            <w:tcW w:type="dxa" w:w="2160"/>
          </w:tcPr>
          <w:p>
            <w:r>
              <w:t>Overtuigend, specifiek onderbouwd "nee, dit niet" met alternatief</w:t>
            </w:r>
          </w:p>
        </w:tc>
      </w:tr>
      <w:tr>
        <w:tc>
          <w:tcPr>
            <w:tcW w:type="dxa" w:w="2160"/>
          </w:tcPr>
          <w:p>
            <w:r>
              <w:rPr>
                <w:b/>
              </w:rPr>
              <w:t>Omgaan met externe druk (stuurgroeplid)</w:t>
            </w:r>
          </w:p>
        </w:tc>
        <w:tc>
          <w:tcPr>
            <w:tcW w:type="dxa" w:w="2160"/>
          </w:tcPr>
          <w:p>
            <w:r>
              <w:t>Zwicht voor druk, herroept eerder standpunt zonder nieuwe informatie</w:t>
            </w:r>
          </w:p>
        </w:tc>
        <w:tc>
          <w:tcPr>
            <w:tcW w:type="dxa" w:w="2160"/>
          </w:tcPr>
          <w:p>
            <w:r>
              <w:t>Houdt stand, maar onvoldoende empathisch voor de zakelijke urgentie</w:t>
            </w:r>
          </w:p>
        </w:tc>
        <w:tc>
          <w:tcPr>
            <w:tcW w:type="dxa" w:w="2160"/>
          </w:tcPr>
          <w:p>
            <w:r>
              <w:t>Erkent de druk, blijft bij het onderbouwde standpunt, biedt een concreet alternatief</w:t>
            </w:r>
          </w:p>
        </w:tc>
      </w:tr>
      <w:tr>
        <w:tc>
          <w:tcPr>
            <w:tcW w:type="dxa" w:w="2160"/>
          </w:tcPr>
          <w:p>
            <w:r>
              <w:rPr>
                <w:b/>
              </w:rPr>
              <w:t>Compliance onder tijdsdruk</w:t>
            </w:r>
          </w:p>
        </w:tc>
        <w:tc>
          <w:tcPr>
            <w:tcW w:type="dxa" w:w="2160"/>
          </w:tcPr>
          <w:p>
            <w:r>
              <w:t>Grenzen (AVG/audit) impliciet losgelaten "voor nu"</w:t>
            </w:r>
          </w:p>
        </w:tc>
        <w:tc>
          <w:tcPr>
            <w:tcW w:type="dxa" w:w="2160"/>
          </w:tcPr>
          <w:p>
            <w:r>
              <w:t>Grenzen benoemd, uitvoering niet volledig sluitend</w:t>
            </w:r>
          </w:p>
        </w:tc>
        <w:tc>
          <w:tcPr>
            <w:tcW w:type="dxa" w:w="2160"/>
          </w:tcPr>
          <w:p>
            <w:r>
              <w:t>Grenzen expliciet gehandhaafd, aantoonbaar in het voorstel verwerkt</w:t>
            </w:r>
          </w:p>
        </w:tc>
      </w:tr>
      <w:tr>
        <w:tc>
          <w:tcPr>
            <w:tcW w:type="dxa" w:w="2160"/>
          </w:tcPr>
          <w:p>
            <w:r>
              <w:rPr>
                <w:b/>
              </w:rPr>
              <w:t>Risicobewustzijn</w:t>
            </w:r>
          </w:p>
        </w:tc>
        <w:tc>
          <w:tcPr>
            <w:tcW w:type="dxa" w:w="2160"/>
          </w:tcPr>
          <w:p>
            <w:r>
              <w:t>Geen risicologboek of alleen triviale risico's benoemd</w:t>
            </w:r>
          </w:p>
        </w:tc>
        <w:tc>
          <w:tcPr>
            <w:tcW w:type="dxa" w:w="2160"/>
          </w:tcPr>
          <w:p>
            <w:r>
              <w:t>Risicologboek aanwezig, oppervlakkig</w:t>
            </w:r>
          </w:p>
        </w:tc>
        <w:tc>
          <w:tcPr>
            <w:tcW w:type="dxa" w:w="2160"/>
          </w:tcPr>
          <w:p>
            <w:r>
              <w:t>Concreet, geprioriteerd risicologboek met mitigatie per risico</w:t>
            </w:r>
          </w:p>
        </w:tc>
      </w:tr>
    </w:tbl>
    <w:p/>
    <w:p>
      <w:r>
        <w:rPr>
          <w:b/>
        </w:rPr>
        <w:t>Voorbeelduitwerking — sterk antwoord op stuurgroepdruk ("kan het niet toch allemaal binnen acht weken"):</w:t>
      </w:r>
    </w:p>
    <w:p>
      <w:r>
        <w:t>"Ik begrijp de druk vanuit de Wtp-deadline volledig, en ik wil niet doen alsof dat geen reëel probleem is. Maar het BPT-proces volledig herbouwen binnen acht weken zou betekenen dat we de audittrail (deel 17) niet grondig genoeg kunnen testen voordat het live gaat — en een AVG-incident tijdens de Wtp-overgang is een groter risico voor Meridiaan dan een tijdelijke, beperktere noodoplossing die we transparant communiceren naar de geraakte werkgevers. Mijn voorstel: de kernfunctionaliteit blijft binnen acht weken beschikbaar, met een deel van de flow tijdelijk handmatig verwerkt door twee extra medewerkers, en een volledige, zorgvuldig geteste migratie na de deadline." Dit antwoord erkent de druk, blijft bij het standpunt, en biedt een concreet, uitvoerbaar alternatief — precies de balans die de rubric beloont.</w:t>
      </w:r>
    </w:p>
    <w:p>
      <w:r>
        <w:rPr>
          <w:b/>
        </w:rPr>
        <w:t>Voorbeelduitwerking — zwak antwoord op dezelfde druk:</w:t>
      </w:r>
    </w:p>
    <w:p>
      <w:r>
        <w:t>"Oké, we proberen het gewoon allemaal binnen acht weken te doen, we passen wel wat aan onderweg." Dit antwoord zwicht zonder nieuwe onderbouwing, negeert de eerder benoemde risico's, en biedt geen concreet alternatief — precies het gedrag dat deel 29 als niet-professioneel identificeerde.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