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d1c74ab1f9cbc6465a71939506e84ed94fdb77f"/>
    <w:p>
      <w:pPr>
        <w:pStyle w:val="Heading1"/>
      </w:pPr>
      <w:r>
        <w:t xml:space="preserve">Responsibility Vacuum in Agent Skill Ecosystems: An Exploratory Anticipatory Governance Framework from the Pacing Problem Perspective</w:t>
      </w:r>
    </w:p>
    <w:p>
      <w:r>
        <w:pict>
          <v:rect style="width:0;height:1.5pt" o:hralign="center" o:hrstd="t" o:hr="t"/>
        </w:pict>
      </w:r>
    </w:p>
    <w:bookmarkStart w:id="20" w:name="authors"/>
    <w:p>
      <w:pPr>
        <w:pStyle w:val="Heading2"/>
      </w:pPr>
      <w:r>
        <w:t xml:space="preserve">Authors</w:t>
      </w:r>
    </w:p>
    <w:p>
      <w:pPr>
        <w:pStyle w:val="FirstParagraph"/>
      </w:pPr>
      <w:r>
        <w:rPr>
          <w:b/>
          <w:bCs/>
        </w:rPr>
        <w:t xml:space="preserve">Shuren Zhang</w:t>
      </w:r>
      <w:r>
        <w:br/>
      </w:r>
      <w:r>
        <w:t xml:space="preserve">School of Alibaba Business, Hangzhou Normal University</w:t>
      </w:r>
      <w:r>
        <w:br/>
      </w:r>
      <w:r>
        <w:t xml:space="preserve">Hangzhou, Zhejiang, China</w:t>
      </w:r>
      <w:r>
        <w:br/>
      </w:r>
      <w:r>
        <w:t xml:space="preserve">Email: zhangshuren@hznu.edu.cn</w:t>
      </w:r>
    </w:p>
    <w:p>
      <w:pPr>
        <w:pStyle w:val="BodyText"/>
      </w:pPr>
      <w:r>
        <w:rPr>
          <w:b/>
          <w:bCs/>
        </w:rPr>
        <w:t xml:space="preserve">Correspondence:</w:t>
      </w:r>
      <w:r>
        <w:t xml:space="preserve"> </w:t>
      </w:r>
      <w:r>
        <w:t xml:space="preserve">Dr. Shuren Zhang</w:t>
      </w:r>
      <w:r>
        <w:br/>
      </w:r>
      <w:r>
        <w:t xml:space="preserve">Email: 3061176@qq.com</w:t>
      </w:r>
      <w:r>
        <w:br/>
      </w:r>
      <w:r>
        <w:t xml:space="preserve">Submitted: May 2026</w:t>
      </w:r>
    </w:p>
    <w:p>
      <w:r>
        <w:pict>
          <v:rect style="width:0;height:1.5pt" o:hralign="center" o:hrstd="t" o:hr="t"/>
        </w:pict>
      </w:r>
    </w:p>
    <w:p>
      <w:pPr>
        <w:pStyle w:val="FirstParagraph"/>
      </w:pPr>
      <w:r>
        <w:rPr>
          <w:b/>
          <w:bCs/>
        </w:rPr>
        <w:t xml:space="preserve">Abstract:</w:t>
      </w:r>
      <w:r>
        <w:t xml:space="preserve"> </w:t>
      </w:r>
      <w:r>
        <w:t xml:space="preserve">AI-Agents are evolving from single-task execution tools into skills-powered agent ecosystems with autonomous decision-making capabilities. Agent Skills—engineering mechanisms that encapsulate complex multi-turn prompt chains into reusable behavioural units using natural language as the carrier—are rapidly proliferating through skill stores, open-source communities, and multi-source distribution channels. However, a systematic absence of accountability mechanisms and governance structures throughout the skill lifecycle—creation, dissemination, and use—constitutes what we term a</w:t>
      </w:r>
      <w:r>
        <w:t xml:space="preserve"> </w:t>
      </w:r>
      <w:r>
        <w:t xml:space="preserve">“responsibility vacuum.”</w:t>
      </w:r>
      <w:r>
        <w:t xml:space="preserve"> </w:t>
      </w:r>
      <w:r>
        <w:t xml:space="preserve">Based on a cross-platform audit of five mainstream agent platforms—Zhipu Z.AI (55 default skills), Coze/ByteDance (39 platform skills), WorkBuddy/Tencent (62 skills), Claude Skills ecosystem (2,000+ skills), and OpenClaw/ClawHub (500+ skills)—this study systematically analysed 2,600+ skills and found that governance deficiency rates across all platforms approach or reach 100% under Wieringa’s (2020) four-dimensional algorithmic accountability framework (transparency, explainability, contestability, and auditability). A structural analysis of the AgentSkills.io specification reveals the root cause: the specification comprehensively defines functional interfaces while containing zero governance fields. Drawing on the Pacing Problem theory (Marchant et al., 2011), Collingridge’s Dilemma (1980), and Anticipatory Governance (Guston, 2014), this paper constructs a</w:t>
      </w:r>
      <w:r>
        <w:t xml:space="preserve"> </w:t>
      </w:r>
      <w:r>
        <w:t xml:space="preserve">“lag diagnosis–risk characterisation–anticipatory response”</w:t>
      </w:r>
      <w:r>
        <w:t xml:space="preserve"> </w:t>
      </w:r>
      <w:r>
        <w:t xml:space="preserve">three-layer analytical framework. An official security report by the Hong Kong Computer Emergency Response Coordination Centre (HKCERT, March 2026) documenting actual attack events—skill supply chain poisoning, fake installers, and platform vulnerabilities—confirms that this governance vacuum has evolved from theoretical risk to real-world security threat. Adopting a Design Science Research (DSR) approach, this study develops the</w:t>
      </w:r>
      <w:r>
        <w:t xml:space="preserve"> </w:t>
      </w:r>
      <w:r>
        <w:t xml:space="preserve">“Responsibility Shield”</w:t>
      </w:r>
      <w:r>
        <w:t xml:space="preserve"> </w:t>
      </w:r>
      <w:r>
        <w:t xml:space="preserve">conceptual prototype and R-Skills governance standard, exploring a technically feasible pathway for embedding responsibility tracing mechanisms before the Collingridge window closes. Contributions include: (1) a systematic conceptualisation of</w:t>
      </w:r>
      <w:r>
        <w:t xml:space="preserve"> </w:t>
      </w:r>
      <w:r>
        <w:t xml:space="preserve">“responsibility vacuum in agent skill ecosystems”</w:t>
      </w:r>
      <w:r>
        <w:t xml:space="preserve"> </w:t>
      </w:r>
      <w:r>
        <w:t xml:space="preserve">that situates the phenomenon within the broader literature on software supply chain governance and algorithmic accountability; (2) causal explanation of the vacuum through the Pacing Problem lens with cross-platform empirical evidence; (3) application of Collingridge’s Dilemma to identify the critical intervention window; (4) an exploratory</w:t>
      </w:r>
      <w:r>
        <w:t xml:space="preserve"> </w:t>
      </w:r>
      <w:r>
        <w:t xml:space="preserve">“Responsibility Shield”</w:t>
      </w:r>
      <w:r>
        <w:t xml:space="preserve"> </w:t>
      </w:r>
      <w:r>
        <w:t xml:space="preserve">prototype and R-Skills governance standard as a technically feasible governance pathway; and (5) an anticipatory governance research agenda for the emerging agent skill ecosystem.</w:t>
      </w:r>
    </w:p>
    <w:p>
      <w:pPr>
        <w:pStyle w:val="BodyText"/>
      </w:pPr>
      <w:r>
        <w:rPr>
          <w:b/>
          <w:bCs/>
        </w:rPr>
        <w:t xml:space="preserve">Keywords:</w:t>
      </w:r>
      <w:r>
        <w:t xml:space="preserve"> </w:t>
      </w:r>
      <w:r>
        <w:t xml:space="preserve">Agent Skill Ecosystems; Responsibility Vacuum; Pacing Problem; Anticipatory Governance; Design Science Research; AgentSkills.io; Responsible AI</w:t>
      </w:r>
    </w:p>
    <w:p>
      <w:r>
        <w:pict>
          <v:rect style="width:0;height:1.5pt" o:hralign="center" o:hrstd="t" o:hr="t"/>
        </w:pict>
      </w:r>
    </w:p>
    <w:bookmarkEnd w:id="20"/>
    <w:bookmarkStart w:id="25" w:name="introduction"/>
    <w:p>
      <w:pPr>
        <w:pStyle w:val="Heading2"/>
      </w:pPr>
      <w:r>
        <w:t xml:space="preserve">1. Introduction</w:t>
      </w:r>
    </w:p>
    <w:bookmarkStart w:id="21" w:name="research-background"/>
    <w:p>
      <w:pPr>
        <w:pStyle w:val="Heading3"/>
      </w:pPr>
      <w:r>
        <w:t xml:space="preserve">1.1 Research Background</w:t>
      </w:r>
    </w:p>
    <w:p>
      <w:pPr>
        <w:pStyle w:val="FirstParagraph"/>
      </w:pPr>
      <w:r>
        <w:t xml:space="preserve">Autonomous Agents powered by Large Language Models (LLMs) are undergoing a critical transition from experimental prototypes to production-grade deployment. Wang et al. (2024), in their comprehensive survey, observe that LLM-based autonomous agents have acquired core capabilities encompassing perception, planning, memory, and tool use, evolving from</w:t>
      </w:r>
      <w:r>
        <w:t xml:space="preserve"> </w:t>
      </w:r>
      <w:r>
        <w:t xml:space="preserve">“single-task executors”</w:t>
      </w:r>
      <w:r>
        <w:t xml:space="preserve"> </w:t>
      </w:r>
      <w:r>
        <w:t xml:space="preserve">towards</w:t>
      </w:r>
      <w:r>
        <w:t xml:space="preserve"> </w:t>
      </w:r>
      <w:r>
        <w:t xml:space="preserve">“multi-agent collaborative systems”</w:t>
      </w:r>
      <w:r>
        <w:t xml:space="preserve"> </w:t>
      </w:r>
      <w:r>
        <w:t xml:space="preserve">(Li et al., 2024; Dang et al., 2025). The technological foundation of this evolution is the</w:t>
      </w:r>
      <w:r>
        <w:t xml:space="preserve"> </w:t>
      </w:r>
      <w:r>
        <w:t xml:space="preserve">“skill”</w:t>
      </w:r>
      <w:r>
        <w:t xml:space="preserve"> </w:t>
      </w:r>
      <w:r>
        <w:t xml:space="preserve">(Skill)—an engineering mechanism that uses natural language text as its carrier to encapsulate complex multi-turn prompt chains into reusable behavioural units.</w:t>
      </w:r>
    </w:p>
    <w:p>
      <w:pPr>
        <w:pStyle w:val="BodyText"/>
      </w:pPr>
      <w:r>
        <w:t xml:space="preserve">Agent skills are becoming the key architectural units enabling the transition of large language models from</w:t>
      </w:r>
      <w:r>
        <w:t xml:space="preserve"> </w:t>
      </w:r>
      <w:r>
        <w:t xml:space="preserve">“conversational tools”</w:t>
      </w:r>
      <w:r>
        <w:t xml:space="preserve"> </w:t>
      </w:r>
      <w:r>
        <w:t xml:space="preserve">to</w:t>
      </w:r>
      <w:r>
        <w:t xml:space="preserve"> </w:t>
      </w:r>
      <w:r>
        <w:t xml:space="preserve">“trustworthy work systems.”</w:t>
      </w:r>
      <w:r>
        <w:t xml:space="preserve"> </w:t>
      </w:r>
      <w:r>
        <w:t xml:space="preserve">Skills lower the barriers to creating and disseminating AI capabilities, enabling their widespread circulation through skill stores, open-source communities, and social media channels (e.g., GitHub, WeChat Official Accounts, personal blogs, and other multi-source channels). However, the natural-language-based dissemination characteristics of skills present unique governance challenges: skills lack standardised dependency declarations, version control, and security audit entry points, meaning any channel supporting text-based communication can serve as a distribution pathway for skills. Compared with traditional software package management (e.g., npm, PyPI, and other distribution systems featuring centralised repositories, semantic versioning, and dependency locking), the dissemination of skills is markedly more decentralised and uncontrollable. With the rapid development of meta-skills, orchestrator skills, and composite skills, the mutual invocation among skills has formed an increasingly complex dependency graph, exhibiting a trend towards hierarchical and fine-grained layering. The latest research by Dang et al. (2025) on multi-agent collaborative orchestration reveals this compositional trend, yet does not address the allocation and transmission of responsibility during the composition process.</w:t>
      </w:r>
    </w:p>
    <w:p>
      <w:pPr>
        <w:pStyle w:val="BodyText"/>
      </w:pPr>
      <w:r>
        <w:t xml:space="preserve">Current mainstream skill specifications (such as AgentSkills.io) primarily define functional interfaces—skill descriptions, trigger conditions, and parameter definitions—addressing the question of</w:t>
      </w:r>
      <w:r>
        <w:t xml:space="preserve"> </w:t>
      </w:r>
      <w:r>
        <w:t xml:space="preserve">“how skills are identified and invoked,”</w:t>
      </w:r>
      <w:r>
        <w:t xml:space="preserve"> </w:t>
      </w:r>
      <w:r>
        <w:t xml:space="preserve">but do not encompass the design of governance interfaces—responsibility declarations, audit trails, authorisation controls, and dependency declarations. The limitations of this standardised design, compounded by the reality that multi-source distribution channels lack unified review mechanisms, jointly give rise to a systematic</w:t>
      </w:r>
      <w:r>
        <w:t xml:space="preserve"> </w:t>
      </w:r>
      <w:r>
        <w:t xml:space="preserve">“responsibility vacuum”</w:t>
      </w:r>
      <w:r>
        <w:t xml:space="preserve"> </w:t>
      </w:r>
      <w:r>
        <w:t xml:space="preserve">within the skill ecosystem. The implications of this governance absence are far-reaching: it not only affects the healthy development of the skill ecosystem itself, but also impedes the AI industry’s paradigmatic transition from</w:t>
      </w:r>
      <w:r>
        <w:t xml:space="preserve"> </w:t>
      </w:r>
      <w:r>
        <w:t xml:space="preserve">“capability competition”</w:t>
      </w:r>
      <w:r>
        <w:t xml:space="preserve"> </w:t>
      </w:r>
      <w:r>
        <w:t xml:space="preserve">to</w:t>
      </w:r>
      <w:r>
        <w:t xml:space="preserve"> </w:t>
      </w:r>
      <w:r>
        <w:t xml:space="preserve">“trustworthiness competition.”</w:t>
      </w:r>
    </w:p>
    <w:p>
      <w:pPr>
        <w:pStyle w:val="BodyText"/>
      </w:pPr>
      <w:r>
        <w:t xml:space="preserve">It is particularly noteworthy that the only publicly available skill standard in the industry—AgentSkills.io (https://agentskills.io/specification), released by Anthropic (Claude’s parent company) at the end of 2025 and adopted by over 20 platforms including Microsoft, Claude, OpenClaw, and WorkBuddy—exhibits a dual structural characteristic of</w:t>
      </w:r>
      <w:r>
        <w:t xml:space="preserve"> </w:t>
      </w:r>
      <w:r>
        <w:t xml:space="preserve">“complete functional interfaces coupled with a governance interface vacuum.”</w:t>
      </w:r>
      <w:r>
        <w:t xml:space="preserve"> </w:t>
      </w:r>
      <w:r>
        <w:t xml:space="preserve">The specification comprehensively defines functional fields (name, description, trigger, metadata, scripts, resources), yet contains zero governance fields—it does not address any of the following: responsibility declaration, audit trail, authorisation, or dependency declaration. This means that skill ecosystems built upon AgentSkills.io inherently lack responsibility tracing capability at the specification level. The extended audit conducted in this paper, covering the Claude Skills ecosystem (claudeskills.info with 140+ skills, SkillsLLM with 1,600+ skills) and OpenClaw/ClawHub (500+ skills)—all based on this specification—further confirms that regardless of the scale of skill proliferation, the governance deficiency rate remains at 100%. In March 2026, an official security report published by the Hong Kong Computer Emergency Response Coordination Centre (HKCERT) documented three categories of actual attack events—skill supply chain poisoning, fake installers, and critical platform vulnerabilities—signalling that this governance deficiency has evolved from a theoretical risk into a real-world security threat.</w:t>
      </w:r>
    </w:p>
    <w:p>
      <w:pPr>
        <w:pStyle w:val="BodyText"/>
      </w:pPr>
      <w:r>
        <w:t xml:space="preserve">Cila et al. (2022), in their work on human-agent collaborative design, proposed three core dimensions: Commitment, Responsiveness, and Support. However, this study focuses on the interaction design between humans and individual agents, and does not extend to governance issues at the level of agent skill ecosystems. Similarly, existing literature on algorithmic accountability (Kordzadeh, 2022; Wieringa, 2020; Bandy, 2021) has predominantly addressed algorithmic bias and fairness in traditional machine learning systems, whilst lacking systematic analysis of the emerging, natural-language-described skill-based agent ecosystems.</w:t>
      </w:r>
    </w:p>
    <w:bookmarkEnd w:id="21"/>
    <w:bookmarkStart w:id="22" w:name="research-phenomenon"/>
    <w:p>
      <w:pPr>
        <w:pStyle w:val="Heading3"/>
      </w:pPr>
      <w:r>
        <w:t xml:space="preserve">1.2 Research Phenomenon</w:t>
      </w:r>
    </w:p>
    <w:p>
      <w:pPr>
        <w:pStyle w:val="FirstParagraph"/>
      </w:pPr>
      <w:r>
        <w:t xml:space="preserve">The starting point of this research originates from a cross-platform empirical observation. The researcher selected five representative agent platforms as field observation subjects, each representing different technological approaches and business models: (1)</w:t>
      </w:r>
      <w:r>
        <w:t xml:space="preserve"> </w:t>
      </w:r>
      <w:r>
        <w:rPr>
          <w:b/>
          <w:bCs/>
        </w:rPr>
        <w:t xml:space="preserve">Zhipu Z.AI</w:t>
      </w:r>
      <w:r>
        <w:t xml:space="preserve">—an agent platform provided by a leading domestic AI enterprise, compliant with the AgentSkills.io specification, with 55 default skills; (2)</w:t>
      </w:r>
      <w:r>
        <w:t xml:space="preserve"> </w:t>
      </w:r>
      <w:r>
        <w:rPr>
          <w:b/>
          <w:bCs/>
        </w:rPr>
        <w:t xml:space="preserve">Coze</w:t>
      </w:r>
      <w:r>
        <w:t xml:space="preserve">—an agent development platform launched by ByteDance, building its skill ecosystem upon the AgentSkills.io specification, with 39 pre-installed platform skills; (3)</w:t>
      </w:r>
      <w:r>
        <w:t xml:space="preserve"> </w:t>
      </w:r>
      <w:r>
        <w:rPr>
          <w:b/>
          <w:bCs/>
        </w:rPr>
        <w:t xml:space="preserve">WorkBuddy</w:t>
      </w:r>
      <w:r>
        <w:t xml:space="preserve">—a full-scenario AI agent desktop workstation officially released by Tencent in March 2026, fully compatible with the OpenClaw skill system, with 62 skills installed in a controlled research environment; (4)</w:t>
      </w:r>
      <w:r>
        <w:t xml:space="preserve"> </w:t>
      </w:r>
      <w:r>
        <w:rPr>
          <w:b/>
          <w:bCs/>
        </w:rPr>
        <w:t xml:space="preserve">Claude Skills ecosystem</w:t>
      </w:r>
      <w:r>
        <w:t xml:space="preserve">—the public skill ecosystem for Anthropic’s Claude agents, compliant with the AgentSkills.io specification, encompassing multiple third-party skill marketplaces including claudeskills.info (140+ skills) and SkillsLLM (1,600+ skills claiming</w:t>
      </w:r>
      <w:r>
        <w:t xml:space="preserve"> </w:t>
      </w:r>
      <w:r>
        <w:t xml:space="preserve">“security-vetted”</w:t>
      </w:r>
      <w:r>
        <w:t xml:space="preserve"> </w:t>
      </w:r>
      <w:r>
        <w:t xml:space="preserve">status), covering domains such as code generation, data analysis, web search, image generation, and MCP servers; (5)</w:t>
      </w:r>
      <w:r>
        <w:t xml:space="preserve"> </w:t>
      </w:r>
      <w:r>
        <w:rPr>
          <w:b/>
          <w:bCs/>
        </w:rPr>
        <w:t xml:space="preserve">OpenClaw/ClawHub</w:t>
      </w:r>
      <w:r>
        <w:t xml:space="preserve">—an open-source AI agent platform, compliant with the AgentSkills.io specification, with the ClawHub official skill marketplace hosting 500+ skills supporting local file operations, external service integration, and automated workflows, and identified by security vendors including Trend Micro as carrying skill supply chain poisoning risks (HKCERT, 2026).</w:t>
      </w:r>
    </w:p>
    <w:p>
      <w:pPr>
        <w:pStyle w:val="BodyText"/>
      </w:pPr>
      <w:r>
        <w:t xml:space="preserve">A systematic audit of the 156 skills across three core platforms (Zhipu Z.AI, Coze, and WorkBuddy) revealed a consistent and alarming finding: the responsibility mechanism deficiency rate across all three platforms reaches or approaches 100%. Specifically, the 55 default skills on Zhipu Z.AI and the 39 platform skills on Coze all exhibited a 100% responsibility declaration deficiency rate, a 100% audit mechanism deficiency rate, and a 100% authorisation process deficiency rate; among the 62 skills on WorkBuddy, only one governance-oriented skill (skill-vetter) possessed partial security review functionality, yielding a responsibility declaration deficiency rate of 98.4%. The extended audit of the Claude Skills ecosystem (2,000+ skills) and OpenClaw/ClawHub (500+ skills), conducted through specification-based structural analysis and publicly available skill descriptions, showed governance deficiency rates indistinguishable from 100% across all four dimensions of Wieringa’s (2020) framework. Whilst this extended analysis does not constitute a direct manual audit of each individual skill, the absence of governance fields in the underlying AgentSkills.io specification—which defines the structural template for all skills on these platforms—provides strong inferential grounds for the near-universal governance deficiency across the full 2,600+ skill population.</w:t>
      </w:r>
    </w:p>
    <w:p>
      <w:pPr>
        <w:pStyle w:val="BodyText"/>
      </w:pPr>
      <w:r>
        <w:t xml:space="preserve">To further validate the generality of the above findings, the researcher conducted a structural analysis of the AgentSkills.io specification itself. The results indicate that the complete field definitions of the specification include name (skill name), description (functional description), trigger (trigger conditions), metadata (version, author, tags), scripts (executable scripts), and resources (resource files)—all of which are functional interfaces addressing the question of</w:t>
      </w:r>
      <w:r>
        <w:t xml:space="preserve"> </w:t>
      </w:r>
      <w:r>
        <w:t xml:space="preserve">“how skills are identified and invoked.”</w:t>
      </w:r>
      <w:r>
        <w:t xml:space="preserve"> </w:t>
      </w:r>
      <w:r>
        <w:t xml:space="preserve">The specification contains no governance interface fields whatsoever—no responsibility declarations, no audit trails, no authorisation controls, and no permission scope declarations. The extended audit of the Claude Skills ecosystem (2,000+ skills) and OpenClaw/ClawHub (500+ skills), both based on this specification, likewise showed governance deficiency rates indistinguishable from 100%. The convergence between the direct audit findings (156 skills) and the specification-based inference (2,500+ skills) strongly suggests that the responsibility vacuum is not an artefact of sampling bias, but rather an inherent architectural deficiency of the current skill specification.</w:t>
      </w:r>
    </w:p>
    <w:p>
      <w:pPr>
        <w:pStyle w:val="BodyText"/>
      </w:pPr>
      <w:r>
        <w:t xml:space="preserve">Particularly worthy of attention, the aforementioned platforms all contain a substantial number of high-risk operation skills: Zhipu Z.AI covers email sending, system deployment, and other operations; Coze encompasses WeChat Official Account article publishing (irreversible public content operations), Feishu cross-user operations (involving access to and modification of others’ data), and browser automation (capable of executing sensitive system operations such as login and form completion); WorkBuddy includes email reading/sending (3 independent skills), GitHub repository operations (2 skills), browser automation, social media operations, and more; the Claude Skills ecosystem encompasses code repository operations, file system access, and network requests; OpenClaw/ClawHub supports local file operations, external service integration, and automated workflows, and has been disclosed by security vendors as carrying supply chain poisoning risks. In traditional human-computer interaction (HCI) models, such operations require multi-step confirmation mechanisms to obtain explicit user authorisation; however, in the Skills model, these confirmation stages are entirely omitted, and the absence of authorisation confirmation workflows directly leads to blurred responsibility boundaries.</w:t>
      </w:r>
    </w:p>
    <w:p>
      <w:pPr>
        <w:pStyle w:val="BodyText"/>
      </w:pPr>
      <w:r>
        <w:t xml:space="preserve">This cross-platform</w:t>
      </w:r>
      <w:r>
        <w:t xml:space="preserve"> </w:t>
      </w:r>
      <w:r>
        <w:t xml:space="preserve">“responsibility vacuum”</w:t>
      </w:r>
      <w:r>
        <w:t xml:space="preserve"> </w:t>
      </w:r>
      <w:r>
        <w:t xml:space="preserve">phenomenon carries theoretical significance, as it reveals a structural imbalance between capability expansion and responsibility governance within technological ecosystems. The audit results across the five platforms demonstrate striking consistency on the governance dimension, compellingly indicating that the responsibility vacuum is not a governance oversight on the part of individual platforms, but rather a structural challenge confronting the current skill paradigm. The listing review mechanisms of platform skill marketplaces further corroborate this governance deficiency—current review standards focus solely on functional viability (</w:t>
      </w:r>
      <w:r>
        <w:t xml:space="preserve">“what it can do”</w:t>
      </w:r>
      <w:r>
        <w:t xml:space="preserve">), without incorporating operational consequence assessment (</w:t>
      </w:r>
      <w:r>
        <w:t xml:space="preserve">“what happens after it is done”</w:t>
      </w:r>
      <w:r>
        <w:t xml:space="preserve">) into the scope of evaluation.</w:t>
      </w:r>
    </w:p>
    <w:bookmarkEnd w:id="22"/>
    <w:bookmarkStart w:id="23" w:name="research-questions"/>
    <w:p>
      <w:pPr>
        <w:pStyle w:val="Heading3"/>
      </w:pPr>
      <w:r>
        <w:t xml:space="preserve">1.3 Research Questions</w:t>
      </w:r>
    </w:p>
    <w:p>
      <w:pPr>
        <w:pStyle w:val="FirstParagraph"/>
      </w:pPr>
      <w:r>
        <w:t xml:space="preserve">Building upon the above background and observations, this paper focuses on the following research questions:</w:t>
      </w:r>
    </w:p>
    <w:p>
      <w:pPr>
        <w:pStyle w:val="BodyText"/>
      </w:pPr>
      <w:r>
        <w:rPr>
          <w:b/>
          <w:bCs/>
        </w:rPr>
        <w:t xml:space="preserve">RQ1:</w:t>
      </w:r>
      <w:r>
        <w:t xml:space="preserve"> </w:t>
      </w:r>
      <w:r>
        <w:t xml:space="preserve">How can the</w:t>
      </w:r>
      <w:r>
        <w:t xml:space="preserve"> </w:t>
      </w:r>
      <w:r>
        <w:t xml:space="preserve">“responsibility vacuum”</w:t>
      </w:r>
      <w:r>
        <w:t xml:space="preserve"> </w:t>
      </w:r>
      <w:r>
        <w:t xml:space="preserve">problem in agent skill ecosystems be causally explained from the perspective of the Pacing Problem in technology governance? How does the temporal lag between the development speed of the skill ecosystem and the governance response speed specifically lead to systematic governance absence?</w:t>
      </w:r>
    </w:p>
    <w:p>
      <w:pPr>
        <w:pStyle w:val="BodyText"/>
      </w:pPr>
      <w:r>
        <w:rPr>
          <w:b/>
          <w:bCs/>
        </w:rPr>
        <w:t xml:space="preserve">RQ2:</w:t>
      </w:r>
      <w:r>
        <w:t xml:space="preserve"> </w:t>
      </w:r>
      <w:r>
        <w:t xml:space="preserve">Under the constraints of the</w:t>
      </w:r>
      <w:r>
        <w:t xml:space="preserve"> </w:t>
      </w:r>
      <w:r>
        <w:t xml:space="preserve">“dilemma of technology control”</w:t>
      </w:r>
      <w:r>
        <w:t xml:space="preserve"> </w:t>
      </w:r>
      <w:r>
        <w:t xml:space="preserve">revealed by Collingridge’s Dilemma—namely, that when a technology is still changeable its impacts are unknown, and when its impacts become apparent the technology has become difficult to change—how can an anticipatory governance framework be constructed from a design science perspective to embed responsibility tracing mechanisms into the skill ecosystem before the governance lag window closes?</w:t>
      </w:r>
    </w:p>
    <w:bookmarkEnd w:id="23"/>
    <w:bookmarkStart w:id="24" w:name="research-contributions"/>
    <w:p>
      <w:pPr>
        <w:pStyle w:val="Heading3"/>
      </w:pPr>
      <w:r>
        <w:t xml:space="preserve">1.4 Research Contributions</w:t>
      </w:r>
    </w:p>
    <w:p>
      <w:pPr>
        <w:pStyle w:val="FirstParagraph"/>
      </w:pPr>
      <w:r>
        <w:t xml:space="preserve">The contributions of this paper manifest at four levels:</w:t>
      </w:r>
    </w:p>
    <w:p>
      <w:pPr>
        <w:pStyle w:val="BodyText"/>
      </w:pPr>
      <w:r>
        <w:t xml:space="preserve">First,</w:t>
      </w:r>
      <w:r>
        <w:t xml:space="preserve"> </w:t>
      </w:r>
      <w:r>
        <w:rPr>
          <w:b/>
          <w:bCs/>
        </w:rPr>
        <w:t xml:space="preserve">conceptual contribution</w:t>
      </w:r>
      <w:r>
        <w:t xml:space="preserve">. This paper proposes and systematically defines the concept of</w:t>
      </w:r>
      <w:r>
        <w:t xml:space="preserve"> </w:t>
      </w:r>
      <w:r>
        <w:t xml:space="preserve">“responsibility vacuum in agent skill ecosystems,”</w:t>
      </w:r>
      <w:r>
        <w:t xml:space="preserve"> </w:t>
      </w:r>
      <w:r>
        <w:t xml:space="preserve">clarifying its full-lifecycle characteristics—the absence of responsibility exists not only during the skill usage phase, but is systematically present from the skill creation phase (developers not providing responsibility declarations) and the dissemination phase (platforms not reviewing governance information). The concept of responsibility vacuum resonates with and extends related concerns documented in the software supply chain security literature (e.g., Williams et al., 2017, on dependency confusion attacks in package managers; Zimmermann et al., 2019, on ecosystem-level vulnerability management), the API governance literature (e.g., Balalaie et al., 2016, on microservice API governance gaps), and the broader literature on accountability in decentralised systems (Cobbe et al., 2023). What distinguishes the present conceptualisation is its application to the specific context of natural-language-driven, dynamically composable AI agent skills—a context in which traditional software supply chain boundaries are blurred by the mutability of natural language prompts and the emergent behaviours arising from multi-skill composition.</w:t>
      </w:r>
    </w:p>
    <w:p>
      <w:pPr>
        <w:pStyle w:val="BodyText"/>
      </w:pPr>
      <w:r>
        <w:t xml:space="preserve">Second,</w:t>
      </w:r>
      <w:r>
        <w:t xml:space="preserve"> </w:t>
      </w:r>
      <w:r>
        <w:rPr>
          <w:b/>
          <w:bCs/>
        </w:rPr>
        <w:t xml:space="preserve">theoretical contribution</w:t>
      </w:r>
      <w:r>
        <w:t xml:space="preserve">. This paper adopts the Pacing Problem in technology governance as its core theoretical lens, revealing the deep causal mechanisms of the responsibility vacuum through cross-platform empirical audits and specification structure analysis—the explosive growth rate of the skill ecosystem far outpaces the governance response speed, and the dual structure of the AgentSkills.io specification—complete functional interfaces coupled with a governance interface vacuum—further amplifies this lag effect. This paper also applies Collingridge’s Dilemma to the governance timing analysis of agent skill ecosystems, identifying that we are presently situated within a critical window for governance intervention.</w:t>
      </w:r>
    </w:p>
    <w:p>
      <w:pPr>
        <w:pStyle w:val="BodyText"/>
      </w:pPr>
      <w:r>
        <w:t xml:space="preserve">Third,</w:t>
      </w:r>
      <w:r>
        <w:t xml:space="preserve"> </w:t>
      </w:r>
      <w:r>
        <w:rPr>
          <w:b/>
          <w:bCs/>
        </w:rPr>
        <w:t xml:space="preserve">design contribution</w:t>
      </w:r>
      <w:r>
        <w:t xml:space="preserve">. This paper develops the</w:t>
      </w:r>
      <w:r>
        <w:t xml:space="preserve"> </w:t>
      </w:r>
      <w:r>
        <w:t xml:space="preserve">“Responsibility Shield”</w:t>
      </w:r>
      <w:r>
        <w:t xml:space="preserve"> </w:t>
      </w:r>
      <w:r>
        <w:t xml:space="preserve">conceptual prototype and the R-Skills governance standard, exploring the technical pathway for embedding responsibility tracing mechanisms within the governance lag window prior to technological lock-in—including a five-stage governance process, tamper-resistant audit chains, and governance interface specifications backward-compatible with AgentSkills.io.</w:t>
      </w:r>
    </w:p>
    <w:p>
      <w:pPr>
        <w:pStyle w:val="BodyText"/>
      </w:pPr>
      <w:r>
        <w:t xml:space="preserve">Fourth,</w:t>
      </w:r>
      <w:r>
        <w:t xml:space="preserve"> </w:t>
      </w:r>
      <w:r>
        <w:rPr>
          <w:b/>
          <w:bCs/>
        </w:rPr>
        <w:t xml:space="preserve">policy implications</w:t>
      </w:r>
      <w:r>
        <w:t xml:space="preserve">. The anticipatory governance perspective of this paper offers time-sensitive policy recommendations for regulatory bodies and standard-setting organisations—the period before skill standards become fully locked and the ecosystem scale further expands constitutes the optimal window for embedding governance interfaces.</w:t>
      </w:r>
    </w:p>
    <w:p>
      <w:pPr>
        <w:pStyle w:val="BodyText"/>
      </w:pPr>
      <w:r>
        <w:t xml:space="preserve">This paper explicitly acknowledges its limitations: the conceptual prototype represents an exploratory artefact that has not undergone large-scale empirical validation and should not be regarded as a validated governance solution. The objective of this paper is to pose research questions for the academic community and initiate scholarly dialogue, rather than to provide an engineered solution.</w:t>
      </w:r>
    </w:p>
    <w:p>
      <w:r>
        <w:pict>
          <v:rect style="width:0;height:1.5pt" o:hralign="center" o:hrstd="t" o:hr="t"/>
        </w:pict>
      </w:r>
    </w:p>
    <w:bookmarkEnd w:id="24"/>
    <w:bookmarkEnd w:id="25"/>
    <w:bookmarkStart w:id="31" w:name="literature-review"/>
    <w:p>
      <w:pPr>
        <w:pStyle w:val="Heading2"/>
      </w:pPr>
      <w:r>
        <w:t xml:space="preserve">2. Literature Review</w:t>
      </w:r>
    </w:p>
    <w:p>
      <w:pPr>
        <w:pStyle w:val="FirstParagraph"/>
      </w:pPr>
      <w:r>
        <w:t xml:space="preserve">This section presents a literature review organised around three interrelated themes: AI agents and autonomous systems, algorithmic accountability and governance, and platform governance and digital ecosystems. Through a systematic examination of existing literature, this paper identifies the current research gaps, laying the foundation for the construction of the theoretical framework.</w:t>
      </w:r>
    </w:p>
    <w:bookmarkStart w:id="26" w:name="ai-agents-and-autonomous-systems"/>
    <w:p>
      <w:pPr>
        <w:pStyle w:val="Heading3"/>
      </w:pPr>
      <w:r>
        <w:t xml:space="preserve">2.1 AI Agents and Autonomous Systems</w:t>
      </w:r>
    </w:p>
    <w:p>
      <w:pPr>
        <w:pStyle w:val="FirstParagraph"/>
      </w:pPr>
      <w:r>
        <w:t xml:space="preserve">Research on AI agents is extending from technical implementation towards system governance. Wang et al. (2024), in their comprehensive survey, systematically reviewed LLM-based autonomous agent architectures, identifying four core modules: Profile, Memory, Planning, and Action. Although this survey addressed safety considerations, it did not delve into accountability issues at the skill level (i.e., the granular refinement of the</w:t>
      </w:r>
      <w:r>
        <w:t xml:space="preserve"> </w:t>
      </w:r>
      <w:r>
        <w:t xml:space="preserve">“Action”</w:t>
      </w:r>
      <w:r>
        <w:t xml:space="preserve"> </w:t>
      </w:r>
      <w:r>
        <w:t xml:space="preserve">module). Li et al. (2024) further extended the perspective to multi-agent systems, discussing workflow orchestration and infrastructure challenges, but likewise did not address cross-agent responsibility transmission and tracing mechanisms.</w:t>
      </w:r>
    </w:p>
    <w:p>
      <w:pPr>
        <w:pStyle w:val="BodyText"/>
      </w:pPr>
      <w:r>
        <w:t xml:space="preserve">At the human-agent collaboration level, Cila et al. (2022) proposed a three-dimensional framework for designing human-agent collaboration from a human-computer interaction (HCI) perspective. Suchman’s (2007) seminal study had earlier identified a fundamental tension between</w:t>
      </w:r>
      <w:r>
        <w:t xml:space="preserve"> </w:t>
      </w:r>
      <w:r>
        <w:t xml:space="preserve">“plans”</w:t>
      </w:r>
      <w:r>
        <w:t xml:space="preserve"> </w:t>
      </w:r>
      <w:r>
        <w:t xml:space="preserve">and</w:t>
      </w:r>
      <w:r>
        <w:t xml:space="preserve"> </w:t>
      </w:r>
      <w:r>
        <w:t xml:space="preserve">“situated actions”</w:t>
      </w:r>
      <w:r>
        <w:t xml:space="preserve"> </w:t>
      </w:r>
      <w:r>
        <w:t xml:space="preserve">in human-computer interaction—agents’ autonomous behaviours may deviate from designers’ intended pathways. In skill-based ecosystems, this tension is further amplified: the combinatorial use of skills may produce emergent behaviours unforeseeable by designers, yet existing collaborative design frameworks have not accounted for the accountability complexities introduced by multi-skill composition.</w:t>
      </w:r>
    </w:p>
    <w:p>
      <w:pPr>
        <w:pStyle w:val="BodyText"/>
      </w:pPr>
      <w:r>
        <w:t xml:space="preserve">The latest research by Dang et al. (2025) on multi-agent collaborative orchestration demonstrated the dynamic evolutionary characteristics of inter-agent collaboration, but this study focused on task efficiency optimisation without addressing responsibility allocation during the collaboration process. In terms of skill security, Xu and Yan (2026), in their recent comprehensive survey, systematically reviewed skill architectures, acquisition mechanisms, and security challenges, identifying 14 security risk patterns in the current skill ecosystem, but did not propose systematic solutions from a governance perspective. Liu et al. (2026), through large-scale empirical research, found that 26.1% of skills contain at least one security vulnerability, providing independent validation for the audit findings of this paper. Bhardwaj (2026) proposed the SkillFortify formal analysis framework, offering formal verification methods for skill supply chain security, yet their focus on technical-level security analysis did not extend to governance institutional design. The OWASP Foundation (2026) published the</w:t>
      </w:r>
      <w:r>
        <w:t xml:space="preserve"> </w:t>
      </w:r>
      <w:r>
        <w:rPr>
          <w:i/>
          <w:iCs/>
        </w:rPr>
        <w:t xml:space="preserve">Agentic Skills Top 10</w:t>
      </w:r>
      <w:r>
        <w:t xml:space="preserve">, systematically cataloguing the top ten security risks in the skill ecosystem. This series of recent studies demonstrates that skill security issues have attracted widespread attention in both academia and industry; however, existing research has primarily focused on technical-level vulnerability detection and formal verification, lacking systematic analysis from the perspectives of governance lag and institutional design—which is precisely the entry point of this paper’s research.</w:t>
      </w:r>
    </w:p>
    <w:bookmarkEnd w:id="26"/>
    <w:bookmarkStart w:id="27" w:name="X2e56f6728ab8a42e1c0c108881d521c77f42e4d"/>
    <w:p>
      <w:pPr>
        <w:pStyle w:val="Heading3"/>
      </w:pPr>
      <w:r>
        <w:t xml:space="preserve">2.2 Algorithmic Accountability and Governance</w:t>
      </w:r>
    </w:p>
    <w:p>
      <w:pPr>
        <w:pStyle w:val="FirstParagraph"/>
      </w:pPr>
      <w:r>
        <w:t xml:space="preserve">Algorithmic Accountability has emerged as an important topic within the IS field in recent years. Kordzadeh (2022), in a systematic review of the algorithmic bias literature, identified the multi-layered nature of bias sources—from the data layer, algorithm layer, to the organisational and societal layers. However, existing bias research has predominantly addressed static, centralised algorithmic systems, whereas behaviours within AI agent skill ecosystems are dynamic, decentralised, and directly influenced by natural language prompts, rendering traditional bias audit frameworks faced with applicability challenges.</w:t>
      </w:r>
    </w:p>
    <w:p>
      <w:pPr>
        <w:pStyle w:val="BodyText"/>
      </w:pPr>
      <w:r>
        <w:t xml:space="preserve">Wieringa (2020), in a systematic literature review of algorithmic accountability, proposed a multidimensional accountability framework encompassing four dimensions: Transparency, Explainability, Contestability, and Auditability. Veale (2018) further explored, from a design perspective, the design requirements for algorithmic fairness and accountability in high-impact public sector decision-making, emphasising the importance of</w:t>
      </w:r>
      <w:r>
        <w:t xml:space="preserve"> </w:t>
      </w:r>
      <w:r>
        <w:t xml:space="preserve">“accountability by design.”</w:t>
      </w:r>
      <w:r>
        <w:t xml:space="preserve"> </w:t>
      </w:r>
      <w:r>
        <w:t xml:space="preserve">Bandy (2021), through a systematic review of algorithmic audit methodologies, identified the dual technical and social challenges of auditing automated decision-making.</w:t>
      </w:r>
    </w:p>
    <w:p>
      <w:pPr>
        <w:pStyle w:val="BodyText"/>
      </w:pPr>
      <w:r>
        <w:t xml:space="preserve">At the practical level of Responsible AI, Rakova et al. (2021), through the lens of organisational practitioners, revealed the critical enabling factors for translating AI ethics principles into organisational practice. Diaz-Rodriguez et al. (2023) systematically connected the key requirements of responsible AI to the technical implementation level of Trustworthy AI, proposing an integrated framework spanning from ethical principles through system design to regulatory compliance. Mikalef (2022), adopting a critical perspective, examined the discursive practices of responsible AI, cautioning the academic community against neglecting the</w:t>
      </w:r>
      <w:r>
        <w:t xml:space="preserve"> </w:t>
      </w:r>
      <w:r>
        <w:t xml:space="preserve">“Dark Side”</w:t>
      </w:r>
      <w:r>
        <w:t xml:space="preserve"> </w:t>
      </w:r>
      <w:r>
        <w:t xml:space="preserve">of AI technology. Wang et al. (2023) explored how design teams adapt to the challenges of responsible AI from the perspective of UX design practice, providing insights for the user experience dimension of governance mechanisms.</w:t>
      </w:r>
    </w:p>
    <w:p>
      <w:pPr>
        <w:pStyle w:val="BodyText"/>
      </w:pPr>
      <w:r>
        <w:t xml:space="preserve">In the domain of AI governance within the public sector, Kuziemski (2020), through frontier cases of automated decision-making across three democracies, revealed the institutional complexity of AI governance. Cobbe et al. (2023) extended the accountability concept to the</w:t>
      </w:r>
      <w:r>
        <w:t xml:space="preserve"> </w:t>
      </w:r>
      <w:r>
        <w:t xml:space="preserve">“Algorithmic Supply Chain,”</w:t>
      </w:r>
      <w:r>
        <w:t xml:space="preserve"> </w:t>
      </w:r>
      <w:r>
        <w:t xml:space="preserve">proposing a new perspective for understanding accountability allocation in multi-actor systems. This supply chain metaphor exhibits high structural homology with the agent skill ecosystems examined in this paper—the invocation chain of skills constitutes an</w:t>
      </w:r>
      <w:r>
        <w:t xml:space="preserve"> </w:t>
      </w:r>
      <w:r>
        <w:t xml:space="preserve">“algorithmic execution chain,”</w:t>
      </w:r>
      <w:r>
        <w:t xml:space="preserve"> </w:t>
      </w:r>
      <w:r>
        <w:t xml:space="preserve">and the transmission and tracing of responsibility along this chain represent the core challenge of accountability.</w:t>
      </w:r>
    </w:p>
    <w:bookmarkEnd w:id="27"/>
    <w:bookmarkStart w:id="28" w:name="X2332251efdfc967a3a1432d7688bf4bdb8798c6"/>
    <w:p>
      <w:pPr>
        <w:pStyle w:val="Heading3"/>
      </w:pPr>
      <w:r>
        <w:t xml:space="preserve">2.3 Platform Governance and Digital Ecosystems</w:t>
      </w:r>
    </w:p>
    <w:p>
      <w:pPr>
        <w:pStyle w:val="FirstParagraph"/>
      </w:pPr>
      <w:r>
        <w:t xml:space="preserve">Platform governance research provides an institutional theory perspective for understanding the governance of skill ecosystems. Zhang (2022), from a strategic management perspective, examined how platform gatekeeping behaviour affects knowledge sharing among complementors, providing a theoretical reference for understanding the relationship between platforms and skill developers. Chen (2022) further explored the influence of governance design in platform ecosystems on complementors’ multi-homing decisions, revealing the incentive effects of governance mechanisms. Chen (2021), from the perspective of decentralised governance, investigated governance structure choices in digital platforms, offering institutional design references for the governance of skill ecosystems.</w:t>
      </w:r>
    </w:p>
    <w:p>
      <w:pPr>
        <w:pStyle w:val="BodyText"/>
      </w:pPr>
      <w:r>
        <w:t xml:space="preserve">Gorwa (2020) focused on algorithmic content moderation, revealing the challenges that automated platform governance faces at both the technological and political levels. Ananny (2018), adopting a critical perspective, examined the limitations of the transparency ideal, identifying a fundamental gap between</w:t>
      </w:r>
      <w:r>
        <w:t xml:space="preserve"> </w:t>
      </w:r>
      <w:r>
        <w:t xml:space="preserve">“Visibility”</w:t>
      </w:r>
      <w:r>
        <w:t xml:space="preserve"> </w:t>
      </w:r>
      <w:r>
        <w:t xml:space="preserve">and</w:t>
      </w:r>
      <w:r>
        <w:t xml:space="preserve"> </w:t>
      </w:r>
      <w:r>
        <w:t xml:space="preserve">“Intelligibility”</w:t>
      </w:r>
      <w:r>
        <w:t xml:space="preserve">—an insight with significant implications for the governance design of agent skill ecosystems: merely making skill behaviour observable is insufficient; it must also be made understandable, auditable, and contestable.</w:t>
      </w:r>
    </w:p>
    <w:p>
      <w:pPr>
        <w:pStyle w:val="BodyText"/>
      </w:pPr>
      <w:r>
        <w:t xml:space="preserve">At the digital platform ecosystem level, Li et al. (2023) investigated the mechanisms through which digital platform ecosystems drive sustainable business model innovation; Peng et al. (2023) explored pathways for promoting value emergence through digital platform ecosystems; and Costabile et al. (2023) constructed building blocks and a research agenda for the governance of digital platform ecosystems in private companies. These studies provide a theoretical foundation for understanding the evolutionary dynamics of skill ecosystems as a novel type of digital ecosystem, yet have not addressed the unique governance requirements of AI agents as special ecosystem participants endowed with autonomous decision-making capabilities.</w:t>
      </w:r>
    </w:p>
    <w:bookmarkEnd w:id="28"/>
    <w:bookmarkStart w:id="29" w:name="literature-gaps-and-research-positioning"/>
    <w:p>
      <w:pPr>
        <w:pStyle w:val="Heading3"/>
      </w:pPr>
      <w:r>
        <w:t xml:space="preserve">2.4 Literature Gaps and Research Positioning</w:t>
      </w:r>
    </w:p>
    <w:p>
      <w:pPr>
        <w:pStyle w:val="FirstParagraph"/>
      </w:pPr>
      <w:r>
        <w:t xml:space="preserve">Synthesising the three strands of literature above, this paper identifies the following research gaps: first, existing research on AI agents focuses on technical architectures and collaboration efficiency, lacking systematic analysis of accountability mechanisms at the skill level; second, existing algorithmic accountability literature primarily addresses static, centralised traditional algorithmic systems, and its applicability to the dynamic, decentralised agent skill ecosystems remains to be validated; third, platform governance research, whilst providing institutional theory perspectives, has not adequately accounted for the unique governance challenges posed by AI agents as special ecosystem participants endowed with autonomous decision-making capabilities. This paper aims to bridge this theoretical gap at the intersection of these research streams.</w:t>
      </w:r>
    </w:p>
    <w:bookmarkEnd w:id="29"/>
    <w:bookmarkStart w:id="30" w:name="Xe473010f4bec6b8a65a66a27647fca2994baaa3"/>
    <w:p>
      <w:pPr>
        <w:pStyle w:val="Heading3"/>
      </w:pPr>
      <w:r>
        <w:t xml:space="preserve">2.5 Situating the Contribution within Core IS Theory</w:t>
      </w:r>
    </w:p>
    <w:p>
      <w:pPr>
        <w:pStyle w:val="FirstParagraph"/>
      </w:pPr>
      <w:r>
        <w:t xml:space="preserve">The responsibility vacuum identified in this paper connects to several foundational concerns within the Information Systems discipline. Orlikowski and Iacono (2001), in their influential call for greater engagement with the IT artifact in IS research, emphasised that the design properties of technological artefacts carry consequential implications for organisational and social outcomes. The AgentSkills.io specification, as a standardising artefact that shapes how skills are described, distributed, and consumed, exemplifies this concern: its design choices—specifically, the comprehensive definition of functional interfaces alongside the omission of governance interfaces—constitute a form of</w:t>
      </w:r>
      <w:r>
        <w:t xml:space="preserve"> </w:t>
      </w:r>
      <w:r>
        <w:t xml:space="preserve">“constitutive entanglement”</w:t>
      </w:r>
      <w:r>
        <w:t xml:space="preserve"> </w:t>
      </w:r>
      <w:r>
        <w:t xml:space="preserve">(Orlikowski, 2007) between the technological artefact and the governance structures that emerge (or fail to emerge) around it. The responsibility vacuum, in this light, is not merely a missing feature but an emergent property of the artefact’s design ontology.</w:t>
      </w:r>
    </w:p>
    <w:p>
      <w:pPr>
        <w:pStyle w:val="BodyText"/>
      </w:pPr>
      <w:r>
        <w:t xml:space="preserve">From an institutional theory perspective (DiMaggio &amp; Powell, 1983), the rapid adoption of AgentSkills.io by 20+ platforms exhibits characteristics of mimetic isomorphism—platforms adopt the specification because other platforms have adopted it, and because Anthropic’s credibility as a leading AI laboratory lends legitimacy to the standard. However, institutional theory also suggests that the specification’s governance omission may become</w:t>
      </w:r>
      <w:r>
        <w:t xml:space="preserve"> </w:t>
      </w:r>
      <w:r>
        <w:t xml:space="preserve">“normalised”</w:t>
      </w:r>
      <w:r>
        <w:t xml:space="preserve"> </w:t>
      </w:r>
      <w:r>
        <w:t xml:space="preserve">through institutional isomorphism: as more platforms adopt the spec without governance fields, the absence of governance itself becomes the institutional norm, raising barriers to subsequent governance intervention. This institutional lock-in dynamic directly parallels the</w:t>
      </w:r>
      <w:r>
        <w:t xml:space="preserve"> </w:t>
      </w:r>
      <w:r>
        <w:t xml:space="preserve">“late stage”</w:t>
      </w:r>
      <w:r>
        <w:t xml:space="preserve"> </w:t>
      </w:r>
      <w:r>
        <w:t xml:space="preserve">of Collingridge’s Dilemma discussed in Section 3.3.</w:t>
      </w:r>
    </w:p>
    <w:p>
      <w:pPr>
        <w:pStyle w:val="BodyText"/>
      </w:pPr>
      <w:r>
        <w:t xml:space="preserve">The socio-technical systems perspective (Bostrom &amp; Heinen, 1977; Trist &amp; Bamforth, 1951) further illuminates the responsibility vacuum as a joint optimisation failure between the social subsystem (governance norms, accountability expectations, regulatory frameworks) and the technical subsystem (skill specifications, platform architectures, runtime environments). The current state of the skill ecosystem represents a subsystem misalignment: the technical subsystem has advanced rapidly (functional interfaces well-defined, skills proliferating), whilst the social subsystem has not kept pace (no governance norms established, no accountability structures institutionalised). The three-layer framework proposed in this paper—lag diagnosis, risk characterisation, and anticipatory response—can be understood as a socio-technical alignment strategy aimed at bringing the social subsystem into correspondence with the technical subsystem’s current state and trajectory.</w:t>
      </w:r>
    </w:p>
    <w:p>
      <w:r>
        <w:pict>
          <v:rect style="width:0;height:1.5pt" o:hralign="center" o:hrstd="t" o:hr="t"/>
        </w:pict>
      </w:r>
    </w:p>
    <w:bookmarkEnd w:id="30"/>
    <w:bookmarkEnd w:id="31"/>
    <w:bookmarkStart w:id="37" w:name="theoretical-framework"/>
    <w:p>
      <w:pPr>
        <w:pStyle w:val="Heading2"/>
      </w:pPr>
      <w:r>
        <w:t xml:space="preserve">3. Theoretical Framework</w:t>
      </w:r>
    </w:p>
    <w:p>
      <w:pPr>
        <w:pStyle w:val="FirstParagraph"/>
      </w:pPr>
      <w:r>
        <w:t xml:space="preserve">This section constructs the theoretical framework for analysing the responsibility vacuum problem in agent skill ecosystems. This paper adopts the Pacing Problem in technology governance as its core theoretical lens, integrating supply chain risk theory and anticipatory governance theory to form a three-layer analytical framework of</w:t>
      </w:r>
      <w:r>
        <w:t xml:space="preserve"> </w:t>
      </w:r>
      <w:r>
        <w:t xml:space="preserve">“lag diagnosis–risk characterisation–anticipatory response.”</w:t>
      </w:r>
      <w:r>
        <w:t xml:space="preserve"> </w:t>
      </w:r>
      <w:r>
        <w:t xml:space="preserve">Wieringa’s (2020) four-dimensional algorithmic accountability framework (transparency, explainability, contestability, and auditability) serves as the evaluation dimension threading through the entire framework, providing a unified construct basis for auditing and design.</w:t>
      </w:r>
    </w:p>
    <w:bookmarkStart w:id="32" w:name="Xa43e5c281acf255894f0f9ddc703ee11a0aae04"/>
    <w:p>
      <w:pPr>
        <w:pStyle w:val="Heading3"/>
      </w:pPr>
      <w:r>
        <w:t xml:space="preserve">3.1 Conceptual Definition of Responsibility Vacuum</w:t>
      </w:r>
    </w:p>
    <w:p>
      <w:pPr>
        <w:pStyle w:val="FirstParagraph"/>
      </w:pPr>
      <w:r>
        <w:t xml:space="preserve">This paper defines</w:t>
      </w:r>
      <w:r>
        <w:t xml:space="preserve"> </w:t>
      </w:r>
      <w:r>
        <w:t xml:space="preserve">“responsibility vacuum in agent skill ecosystems”</w:t>
      </w:r>
      <w:r>
        <w:t xml:space="preserve"> </w:t>
      </w:r>
      <w:r>
        <w:t xml:space="preserve">as:</w:t>
      </w:r>
      <w:r>
        <w:t xml:space="preserve"> </w:t>
      </w:r>
      <w:r>
        <w:rPr>
          <w:b/>
          <w:bCs/>
        </w:rPr>
        <w:t xml:space="preserve">a structural state of absence in which, throughout the full lifecycle of agent skills—creation, dissemination, and use—skills, as autonomous behavioural units, lack responsibility declaration mechanisms on the developer side, governance review mechanisms on the distribution channel side, systematic governance infrastructure on the platform side, and authorisation control and impact tracing mechanisms on the usage side.</w:t>
      </w:r>
    </w:p>
    <w:p>
      <w:pPr>
        <w:pStyle w:val="BodyText"/>
      </w:pPr>
      <w:r>
        <w:t xml:space="preserve">This definition carries three levels of analytical implications: (1)</w:t>
      </w:r>
      <w:r>
        <w:t xml:space="preserve"> </w:t>
      </w:r>
      <w:r>
        <w:rPr>
          <w:b/>
          <w:bCs/>
        </w:rPr>
        <w:t xml:space="preserve">Full-lifecycle characteristics</w:t>
      </w:r>
      <w:r>
        <w:t xml:space="preserve">—the absence of responsibility exists not merely during the skill execution phase, but is systematically generated from the skill creation phase (developers not including governance information when writing natural language descriptions) and the dissemination phase (platform reviews focusing solely on functional viability), exhibiting a cumulative effect of</w:t>
      </w:r>
      <w:r>
        <w:t xml:space="preserve"> </w:t>
      </w:r>
      <w:r>
        <w:t xml:space="preserve">“frontend deficiency → mid-range amplification → end-stage loss of control”</w:t>
      </w:r>
      <w:r>
        <w:t xml:space="preserve">; (2)</w:t>
      </w:r>
      <w:r>
        <w:t xml:space="preserve"> </w:t>
      </w:r>
      <w:r>
        <w:rPr>
          <w:b/>
          <w:bCs/>
        </w:rPr>
        <w:t xml:space="preserve">Multi-stakeholder responsibility ambiguity</w:t>
      </w:r>
      <w:r>
        <w:t xml:space="preserve">—there is a lack of clear responsibility boundary delineation among developers, platform operators, and end users, such that when unintended consequences occur, there exists no traceable responsibility chain; (3)</w:t>
      </w:r>
      <w:r>
        <w:t xml:space="preserve"> </w:t>
      </w:r>
      <w:r>
        <w:rPr>
          <w:b/>
          <w:bCs/>
        </w:rPr>
        <w:t xml:space="preserve">Structural root cause</w:t>
      </w:r>
      <w:r>
        <w:t xml:space="preserve">—the origin of the responsibility vacuum lies not in the behavioural negligence of individual actors, but in the design deficiency of the skill specification (AgentSkills.io) and ecosystem governance institutions.</w:t>
      </w:r>
    </w:p>
    <w:bookmarkEnd w:id="32"/>
    <w:bookmarkStart w:id="33" w:name="X93911f8c8b743b4ef0435f01d4b847eb8515245"/>
    <w:p>
      <w:pPr>
        <w:pStyle w:val="Heading3"/>
      </w:pPr>
      <w:r>
        <w:t xml:space="preserve">3.2 Core Theoretical Lens: The Pacing Problem in Technology Governance</w:t>
      </w:r>
    </w:p>
    <w:p>
      <w:pPr>
        <w:pStyle w:val="FirstParagraph"/>
      </w:pPr>
      <w:r>
        <w:t xml:space="preserve">The</w:t>
      </w:r>
      <w:r>
        <w:t xml:space="preserve"> </w:t>
      </w:r>
      <w:r>
        <w:t xml:space="preserve">“Pacing Problem”</w:t>
      </w:r>
      <w:r>
        <w:t xml:space="preserve"> </w:t>
      </w:r>
      <w:r>
        <w:t xml:space="preserve">theory proposed by Marchant et al. (2011) posits that the development speed of emerging technologies far exceeds the response speed of legal, ethical, and governance frameworks, resulting in systematic governance lag. The core proposition of this theory is: when technological innovation proceeds at exponential speed, reliance on linear, incremental governance response mechanisms (such as legislation, standard revision, and regulatory policy formulation) will inevitably produce a</w:t>
      </w:r>
      <w:r>
        <w:t xml:space="preserve"> </w:t>
      </w:r>
      <w:r>
        <w:t xml:space="preserve">“Governance Gap.”</w:t>
      </w:r>
    </w:p>
    <w:p>
      <w:pPr>
        <w:pStyle w:val="BodyText"/>
      </w:pPr>
      <w:r>
        <w:t xml:space="preserve">Applying the governance lag framework to agent skill ecosystems, we can identify a clear</w:t>
      </w:r>
      <w:r>
        <w:t xml:space="preserve"> </w:t>
      </w:r>
      <w:r>
        <w:rPr>
          <w:b/>
          <w:bCs/>
        </w:rPr>
        <w:t xml:space="preserve">lag quantification map</w:t>
      </w:r>
      <w:r>
        <w:t xml:space="preserve">:</w:t>
      </w:r>
    </w:p>
    <w:p>
      <w:pPr>
        <w:pStyle w:val="BodyText"/>
      </w:pPr>
      <w:r>
        <w:rPr>
          <w:b/>
          <w:bCs/>
        </w:rPr>
        <w:t xml:space="preserve">(1) Standard-setting lag.</w:t>
      </w:r>
      <w:r>
        <w:t xml:space="preserve"> </w:t>
      </w:r>
      <w:r>
        <w:t xml:space="preserve">As the only publicly available skill standard in the industry, AgentSkills.io was released by Anthropic at the end of 2025. During its development, the specification focused entirely on defining functional interfaces (name, description, trigger, metadata, scripts, resources), without incorporating any governance fields. From the publication of the standard to the present, no formal standard revisions or governance supplementation proposals have emerged. The characteristic of this lag is that standard-setters did not anticipate governance requirements during the functional definition phase, whilst subsequent supplementary revisions face extremely high coordination costs—because the standard has already been adopted by 20+ platforms.</w:t>
      </w:r>
    </w:p>
    <w:p>
      <w:pPr>
        <w:pStyle w:val="BodyText"/>
      </w:pPr>
      <w:r>
        <w:rPr>
          <w:b/>
          <w:bCs/>
        </w:rPr>
        <w:t xml:space="preserve">(2) Ecosystem expansion lag.</w:t>
      </w:r>
      <w:r>
        <w:t xml:space="preserve"> </w:t>
      </w:r>
      <w:r>
        <w:t xml:space="preserve">From the release of AgentSkills.io (end of 2025) to the audit time point of this paper (mid-2026), the skill ecosystem experienced explosive growth: Claude Skills grew from zero to 2,000+ skills (SkillsLLM 1,600+), OpenClaw/ClawHub grew from zero to 500+ skills, and Tencent SkillHub went live with over 13,000+ skills within two days of launch (11–13 March 2026). The speed of ecosystem expansion far outpaces the deployment speed of any governance mechanism.</w:t>
      </w:r>
    </w:p>
    <w:p>
      <w:pPr>
        <w:pStyle w:val="BodyText"/>
      </w:pPr>
      <w:r>
        <w:rPr>
          <w:b/>
          <w:bCs/>
        </w:rPr>
        <w:t xml:space="preserve">(3) Security response lag.</w:t>
      </w:r>
      <w:r>
        <w:t xml:space="preserve"> </w:t>
      </w:r>
      <w:r>
        <w:t xml:space="preserve">The interval from the formation of the skill ecosystem to the first official security incident record—HKCERT’s security report of 17 March 2026—was less than six months. However, from the publication of the security report to the implementation of effective governance response measures, no substantive progress has been observed to date. This means that: even with known security risks, the governance response lag continues to persist.</w:t>
      </w:r>
    </w:p>
    <w:p>
      <w:pPr>
        <w:pStyle w:val="BodyText"/>
      </w:pPr>
      <w:r>
        <w:t xml:space="preserve">The key insight of the Pacing Problem theory is that:</w:t>
      </w:r>
      <w:r>
        <w:t xml:space="preserve"> </w:t>
      </w:r>
      <w:r>
        <w:rPr>
          <w:b/>
          <w:bCs/>
        </w:rPr>
        <w:t xml:space="preserve">the lag is not merely a temporal difference, but a risk multiplier.</w:t>
      </w:r>
      <w:r>
        <w:t xml:space="preserve"> </w:t>
      </w:r>
      <w:r>
        <w:t xml:space="preserve">Within the time window of governance absence, the number of skills grows exponentially, with each new skill constituting a new potential risk source. The longer the lag, the larger the stock requiring governance, and the higher the switching costs of subsequent governance. The cross-platform audit data of this paper provide quantitative support for this theoretical proposition: the governance deficiency across 2,600+ skills is not</w:t>
      </w:r>
      <w:r>
        <w:t xml:space="preserve"> </w:t>
      </w:r>
      <w:r>
        <w:t xml:space="preserve">“2,600 independent problems,”</w:t>
      </w:r>
      <w:r>
        <w:t xml:space="preserve"> </w:t>
      </w:r>
      <w:r>
        <w:t xml:space="preserve">but rather 2,600 specific manifestations of the single systemic problem of</w:t>
      </w:r>
      <w:r>
        <w:t xml:space="preserve"> </w:t>
      </w:r>
      <w:r>
        <w:t xml:space="preserve">“unconstrained growth within the governance lag window.”</w:t>
      </w:r>
    </w:p>
    <w:p>
      <w:pPr>
        <w:pStyle w:val="BodyText"/>
      </w:pPr>
      <w:r>
        <w:rPr>
          <w:b/>
          <w:bCs/>
        </w:rPr>
        <w:t xml:space="preserve">Structural incentives amplifying the governance lag.</w:t>
      </w:r>
      <w:r>
        <w:t xml:space="preserve"> </w:t>
      </w:r>
      <w:r>
        <w:t xml:space="preserve">The governance lag identified above is not solely a temporal phenomenon; it is sustained and amplified by structural incentive misalignments across the ecosystem’s stakeholder landscape. From the platform operator’s perspective, skill ecosystem growth serves as a primary competitive metric—platforms benefit from maximising the quantity and variety of available skills to attract users and developers, whilst governance requirements (mandatory responsibility declarations, security review procedures, authorisation consent flows) introduce friction that may slow developer onboarding and reduce platform stickiness (Zhang, 2022; Chen, 2022). The cost of governance compliance—additional development time for developers, expanded review processes for platforms, and potential user friction from consent mechanisms—is borne locally by each stakeholder, whereas the benefits of improved security are distributed globally across the ecosystem, creating a classic collective action problem (Olson, 1965). Furthermore, the standard-setter’s position introduces an additional structural complexity: Anthropic, as the creator of AgentSkills.io and a major commercial actor in the AI agent market, occupies a dual role as both industry participant and de facto standard-setter. This dual position raises inherent tensions between the desirability of a rapidly growing, minimally encumbered skill ecosystem (which benefits Anthropic’s commercial position) and the public interest in robust governance standards. The absence of an independent, multi-stakeholder governance body for the AgentSkills.io specification means that the standard’s evolution is subject to the priorities and constraints of a single commercial entity rather than being shaped through inclusive deliberation among developers, platform operators, users, regulators, and civil society organisations. These structural factors suggest that the responsibility vacuum is not merely a timing gap amenable to technical correction, but a socio-political condition rooted in the incentive structures and institutional arrangements of the ecosystem. Any governance intervention must therefore address not only the technical specification gap but also the underlying incentive dynamics that sustain the vacuum.</w:t>
      </w:r>
    </w:p>
    <w:bookmarkEnd w:id="33"/>
    <w:bookmarkStart w:id="34" w:name="X9a34accfd611211d9f71117bc8418b209a23cff"/>
    <w:p>
      <w:pPr>
        <w:pStyle w:val="Heading3"/>
      </w:pPr>
      <w:r>
        <w:t xml:space="preserve">3.3 Auxiliary Theory I: Collingridge’s Dilemma and the Dilemma of Technology Control</w:t>
      </w:r>
    </w:p>
    <w:p>
      <w:pPr>
        <w:pStyle w:val="FirstParagraph"/>
      </w:pPr>
      <w:r>
        <w:t xml:space="preserve">Collingridge (1980), in</w:t>
      </w:r>
      <w:r>
        <w:t xml:space="preserve"> </w:t>
      </w:r>
      <w:r>
        <w:rPr>
          <w:i/>
          <w:iCs/>
        </w:rPr>
        <w:t xml:space="preserve">The Social Control of Technology</w:t>
      </w:r>
      <w:r>
        <w:t xml:space="preserve">, proposed a fundamental dilemma regarding technology governance:</w:t>
      </w:r>
    </w:p>
    <w:p>
      <w:pPr>
        <w:pStyle w:val="BlockText"/>
      </w:pPr>
      <w:r>
        <w:t xml:space="preserve">When a technology is still in its early stages, it is easily controlled and changed, but its social impacts are unknown; when its social impacts become apparent, it has been widely adopted and becomes difficult to change.</w:t>
      </w:r>
    </w:p>
    <w:p>
      <w:pPr>
        <w:pStyle w:val="FirstParagraph"/>
      </w:pPr>
      <w:r>
        <w:t xml:space="preserve">This dilemma provides a precise theoretical tool for the governance timing analysis of agent skill ecosystems. The current skill ecosystem is situated at a</w:t>
      </w:r>
      <w:r>
        <w:t xml:space="preserve"> </w:t>
      </w:r>
      <w:r>
        <w:rPr>
          <w:b/>
          <w:bCs/>
        </w:rPr>
        <w:t xml:space="preserve">critical turning point</w:t>
      </w:r>
      <w:r>
        <w:t xml:space="preserve"> </w:t>
      </w:r>
      <w:r>
        <w:t xml:space="preserve">within Collingridge’s Dilemma:</w:t>
      </w:r>
    </w:p>
    <w:p>
      <w:pPr>
        <w:pStyle w:val="BodyText"/>
      </w:pPr>
      <w:r>
        <w:rPr>
          <w:b/>
          <w:bCs/>
        </w:rPr>
        <w:t xml:space="preserve">(1) Early stage (passed): easy to change but impacts unknown.</w:t>
      </w:r>
      <w:r>
        <w:t xml:space="preserve"> </w:t>
      </w:r>
      <w:r>
        <w:t xml:space="preserve">When AgentSkills.io was released at the end of 2025, it only defined functional interfaces, and governance requirements had not yet materialised. At that point, the cost of modifying the standard was extremely low—merely adding several governance fields to the specification. However, no actor (standard-setters, platform operators, developers, or users) foresaw the need for responsibility governance. Collingridge points out that the dilemma at this stage lies in a</w:t>
      </w:r>
      <w:r>
        <w:t xml:space="preserve"> </w:t>
      </w:r>
      <w:r>
        <w:rPr>
          <w:b/>
          <w:bCs/>
        </w:rPr>
        <w:t xml:space="preserve">foresight deficit</w:t>
      </w:r>
      <w:r>
        <w:t xml:space="preserve">—there was insufficient justification for incurring governance costs before functional validation had been achieved.</w:t>
      </w:r>
    </w:p>
    <w:p>
      <w:pPr>
        <w:pStyle w:val="BodyText"/>
      </w:pPr>
      <w:r>
        <w:rPr>
          <w:b/>
          <w:bCs/>
        </w:rPr>
        <w:t xml:space="preserve">(2) Current stage (ongoing): impacts emerging but change difficult.</w:t>
      </w:r>
      <w:r>
        <w:t xml:space="preserve"> </w:t>
      </w:r>
      <w:r>
        <w:t xml:space="preserve">The HKCERT security report of March 2026 signalled that the negative societal impacts of the skill ecosystem had evolved from theoretical risks to real-world threats. The</w:t>
      </w:r>
      <w:r>
        <w:t xml:space="preserve"> </w:t>
      </w:r>
      <w:r>
        <w:t xml:space="preserve">“late-stage”</w:t>
      </w:r>
      <w:r>
        <w:t xml:space="preserve"> </w:t>
      </w:r>
      <w:r>
        <w:t xml:space="preserve">characteristics of Collingridge’s Dilemma are beginning to manifest: AgentSkills.io has been adopted by 20+ platforms, 2,600+ skills have been developed based on the specification, and any specification-level governance supplementation faces enormous backward compatibility pressures and ecosystem coordination costs. Nevertheless, this is precisely the</w:t>
      </w:r>
      <w:r>
        <w:t xml:space="preserve"> </w:t>
      </w:r>
      <w:r>
        <w:rPr>
          <w:b/>
          <w:bCs/>
        </w:rPr>
        <w:t xml:space="preserve">last viable window</w:t>
      </w:r>
      <w:r>
        <w:t xml:space="preserve"> </w:t>
      </w:r>
      <w:r>
        <w:t xml:space="preserve">for governance intervention—skill standards have not yet become fully locked, and mainstream platforms have not yet formed entrenched ecosystem barriers.</w:t>
      </w:r>
    </w:p>
    <w:p>
      <w:pPr>
        <w:pStyle w:val="BodyText"/>
      </w:pPr>
      <w:r>
        <w:rPr>
          <w:b/>
          <w:bCs/>
        </w:rPr>
        <w:t xml:space="preserve">(3) Late stage (future): change nearly impossible.</w:t>
      </w:r>
      <w:r>
        <w:t xml:space="preserve"> </w:t>
      </w:r>
      <w:r>
        <w:t xml:space="preserve">If the current time window is missed, the skill ecosystem will enter the</w:t>
      </w:r>
      <w:r>
        <w:t xml:space="preserve"> </w:t>
      </w:r>
      <w:r>
        <w:t xml:space="preserve">“late stage”</w:t>
      </w:r>
      <w:r>
        <w:t xml:space="preserve"> </w:t>
      </w:r>
      <w:r>
        <w:t xml:space="preserve">of Collingridge’s Dilemma—standards fully locked, tens of thousands of skills deployed, and the cost of embedding governance interfaces growing exponentially. Analogous lessons in traditional software ecosystems are numerous: the npm ecosystem only gradually established dependency governance mechanisms after the left-pad incident (2016), yet the existing hundreds of thousands of packages still lack governance markings; the Chrome Web Store only strengthened its review processes after malicious extensions had proliferated for years, but the cleanup cost was extremely high.</w:t>
      </w:r>
    </w:p>
    <w:p>
      <w:pPr>
        <w:pStyle w:val="BodyText"/>
      </w:pPr>
      <w:r>
        <w:t xml:space="preserve">Collingridge’s Dilemma provides the theoretical constraint for this paper’s RQ2:</w:t>
      </w:r>
      <w:r>
        <w:t xml:space="preserve"> </w:t>
      </w:r>
      <w:r>
        <w:rPr>
          <w:b/>
          <w:bCs/>
        </w:rPr>
        <w:t xml:space="preserve">the governance solution must possess backward compatibility within the current time window—that is, embedding a governance layer without disrupting existing functional interfaces.</w:t>
      </w:r>
      <w:r>
        <w:t xml:space="preserve"> </w:t>
      </w:r>
      <w:r>
        <w:t xml:space="preserve">This directly stipulates the design constraints for the</w:t>
      </w:r>
      <w:r>
        <w:t xml:space="preserve"> </w:t>
      </w:r>
      <w:r>
        <w:t xml:space="preserve">“Responsibility Shield”</w:t>
      </w:r>
      <w:r>
        <w:t xml:space="preserve"> </w:t>
      </w:r>
      <w:r>
        <w:t xml:space="preserve">prototype and R-Skills standard: the governance mechanism must be add-on rather than rebuild in nature.</w:t>
      </w:r>
    </w:p>
    <w:bookmarkEnd w:id="34"/>
    <w:bookmarkStart w:id="35" w:name="X476a632f49e146d3106398a9629739ecd4d7a4a"/>
    <w:p>
      <w:pPr>
        <w:pStyle w:val="Heading3"/>
      </w:pPr>
      <w:r>
        <w:t xml:space="preserve">3.4 Auxiliary Theory II: Skill Supply Chain Risk and Algorithmic Accountability</w:t>
      </w:r>
    </w:p>
    <w:p>
      <w:pPr>
        <w:pStyle w:val="FirstParagraph"/>
      </w:pPr>
      <w:r>
        <w:t xml:space="preserve">The</w:t>
      </w:r>
      <w:r>
        <w:t xml:space="preserve"> </w:t>
      </w:r>
      <w:r>
        <w:t xml:space="preserve">“Algorithmic Supply Chain”</w:t>
      </w:r>
      <w:r>
        <w:t xml:space="preserve"> </w:t>
      </w:r>
      <w:r>
        <w:t xml:space="preserve">concept proposed by Cobbe et al. (2023) provides an analytical tool for understanding the specific risk manifestations of the responsibility vacuum. The agent skill ecosystem naturally constitutes a multi-node supply chain:</w:t>
      </w:r>
    </w:p>
    <w:p>
      <w:pPr>
        <w:pStyle w:val="SourceCode"/>
      </w:pPr>
      <w:r>
        <w:rPr>
          <w:rStyle w:val="VerbatimChar"/>
        </w:rPr>
        <w:t xml:space="preserve">Skill Developer → Skill Marketplace/Platform → AI Agent Runtime → User System</w:t>
      </w:r>
      <w:r>
        <w:br/>
      </w:r>
      <w:r>
        <w:rPr>
          <w:rStyle w:val="VerbatimChar"/>
        </w:rPr>
        <w:t xml:space="preserve">(Creation)        (Dissemination)           (Usage)           (Impact)</w:t>
      </w:r>
    </w:p>
    <w:p>
      <w:pPr>
        <w:pStyle w:val="FirstParagraph"/>
      </w:pPr>
      <w:r>
        <w:t xml:space="preserve">In this supply chain, governance deficiency at each node amplifies risks along the chain:</w:t>
      </w:r>
    </w:p>
    <w:p>
      <w:pPr>
        <w:pStyle w:val="BodyText"/>
      </w:pPr>
      <w:r>
        <w:rPr>
          <w:b/>
          <w:bCs/>
        </w:rPr>
        <w:t xml:space="preserve">(1) Risks at the creation node (developer).</w:t>
      </w:r>
      <w:r>
        <w:t xml:space="preserve"> </w:t>
      </w:r>
      <w:r>
        <w:t xml:space="preserve">Skill developers write skill descriptions and code logic in natural language text but do not provide responsibility declarations, permission scope declarations, or impact assessments. Developers lack standardised mechanisms for encoding responsibility intentions as auditable governance information. The</w:t>
      </w:r>
      <w:r>
        <w:t xml:space="preserve"> </w:t>
      </w:r>
      <w:r>
        <w:t xml:space="preserve">“skill supply chain poisoning”</w:t>
      </w:r>
      <w:r>
        <w:t xml:space="preserve"> </w:t>
      </w:r>
      <w:r>
        <w:t xml:space="preserve">documented in the HKCERT (2026) report—malicious skills disguised as legitimate SKILL.md files—precisely exploits the governance deficiency at the creation node.</w:t>
      </w:r>
    </w:p>
    <w:p>
      <w:pPr>
        <w:pStyle w:val="BodyText"/>
      </w:pPr>
      <w:r>
        <w:rPr>
          <w:b/>
          <w:bCs/>
        </w:rPr>
        <w:t xml:space="preserve">(2) Risks at the dissemination node (marketplace/platform).</w:t>
      </w:r>
      <w:r>
        <w:t xml:space="preserve"> </w:t>
      </w:r>
      <w:r>
        <w:t xml:space="preserve">Platforms, as the core nodes of the supply chain, should ideally assume gatekeeping functions (Zhang, 2022), yet current reviews focus solely on functional viability (</w:t>
      </w:r>
      <w:r>
        <w:t xml:space="preserve">“what it can do”</w:t>
      </w:r>
      <w:r>
        <w:t xml:space="preserve">), without incorporating operational consequence assessment (</w:t>
      </w:r>
      <w:r>
        <w:t xml:space="preserve">“what happens after it is done”</w:t>
      </w:r>
      <w:r>
        <w:t xml:space="preserve">) into review standards. Cobbe et al. (2023) observe that when core nodes in algorithmic supply chains lack accountability mechanisms, risks propagate along the chain without attenuation.</w:t>
      </w:r>
    </w:p>
    <w:p>
      <w:pPr>
        <w:pStyle w:val="BodyText"/>
      </w:pPr>
      <w:r>
        <w:rPr>
          <w:b/>
          <w:bCs/>
        </w:rPr>
        <w:t xml:space="preserve">(3) Risks at the usage node (runtime).</w:t>
      </w:r>
      <w:r>
        <w:t xml:space="preserve"> </w:t>
      </w:r>
      <w:r>
        <w:t xml:space="preserve">Wieringa’s (2020) four-dimensional algorithmic accountability framework—transparency, explainability, contestability, and auditability—provides the construct basis for evaluating the governance state of the usage node. The cross-platform audit conducted in this paper, based on this framework, found deficiency rates approaching 100% across all four dimensions on all platforms. Ananny’s (2018) critical analysis of the limitations of transparency further reveals: merely making skill behaviour</w:t>
      </w:r>
      <w:r>
        <w:t xml:space="preserve"> </w:t>
      </w:r>
      <w:r>
        <w:t xml:space="preserve">“visible”</w:t>
      </w:r>
      <w:r>
        <w:t xml:space="preserve"> </w:t>
      </w:r>
      <w:r>
        <w:t xml:space="preserve">is insufficient; it must also be made</w:t>
      </w:r>
      <w:r>
        <w:t xml:space="preserve"> </w:t>
      </w:r>
      <w:r>
        <w:t xml:space="preserve">“understandable”</w:t>
      </w:r>
      <w:r>
        <w:t xml:space="preserve"> </w:t>
      </w:r>
      <w:r>
        <w:t xml:space="preserve">and</w:t>
      </w:r>
      <w:r>
        <w:t xml:space="preserve"> </w:t>
      </w:r>
      <w:r>
        <w:t xml:space="preserve">“contestable”</w:t>
      </w:r>
      <w:r>
        <w:t xml:space="preserve">—and these are precisely the capabilities most lacking at the current usage node.</w:t>
      </w:r>
    </w:p>
    <w:p>
      <w:pPr>
        <w:pStyle w:val="BodyText"/>
      </w:pPr>
      <w:r>
        <w:rPr>
          <w:b/>
          <w:bCs/>
        </w:rPr>
        <w:t xml:space="preserve">(4) Risks at the impact node (user system).</w:t>
      </w:r>
      <w:r>
        <w:t xml:space="preserve"> </w:t>
      </w:r>
      <w:r>
        <w:t xml:space="preserve">When skills execute within user systems, their impacts may be irreversible (e.g., publishing public content), invisible (e.g., background file system access), or cumulative (e.g., data breaches resulting from multiple operations). Bandy’s (2021) review of algorithmic audit methodologies notes that ex-post tracing relies on complete audit infrastructure—which is precisely the weakest link in the current supply chain.</w:t>
      </w:r>
    </w:p>
    <w:bookmarkEnd w:id="35"/>
    <w:bookmarkStart w:id="36" w:name="Xf500c5d7969f88a8c8ad0450025a3dae9d5752d"/>
    <w:p>
      <w:pPr>
        <w:pStyle w:val="Heading3"/>
      </w:pPr>
      <w:r>
        <w:t xml:space="preserve">3.5 Integrated Framework: Anticipatory Response from the Pacing Problem Perspective</w:t>
      </w:r>
    </w:p>
    <w:p>
      <w:pPr>
        <w:pStyle w:val="FirstParagraph"/>
      </w:pPr>
      <w:r>
        <w:t xml:space="preserve">Integrating the theoretical perspectives above, this paper constructs a three-layer analytical framework of</w:t>
      </w:r>
      <w:r>
        <w:t xml:space="preserve"> </w:t>
      </w:r>
      <w:r>
        <w:t xml:space="preserve">“lag diagnosis–risk characterisation–anticipatory response”</w:t>
      </w:r>
      <w:r>
        <w:t xml:space="preserve">:</w:t>
      </w:r>
    </w:p>
    <w:p>
      <w:pPr>
        <w:pStyle w:val="BodyText"/>
      </w:pPr>
      <w:r>
        <w:rPr>
          <w:b/>
          <w:bCs/>
        </w:rPr>
        <w:t xml:space="preserve">Layer 1: Lag Diagnosis (Pacing Problem + Collingridge’s Dilemma).</w:t>
      </w:r>
      <w:r>
        <w:t xml:space="preserve"> </w:t>
      </w:r>
      <w:r>
        <w:t xml:space="preserve">The Pacing Problem theory addresses</w:t>
      </w:r>
      <w:r>
        <w:t xml:space="preserve"> </w:t>
      </w:r>
      <w:r>
        <w:t xml:space="preserve">“why governance is absent”</w:t>
      </w:r>
      <w:r>
        <w:t xml:space="preserve">—the pace of technological development far exceeds the speed of governance response. Collingridge’s Dilemma further addresses</w:t>
      </w:r>
      <w:r>
        <w:t xml:space="preserve"> </w:t>
      </w:r>
      <w:r>
        <w:t xml:space="preserve">“the urgency of governance timing”</w:t>
      </w:r>
      <w:r>
        <w:t xml:space="preserve">—we are currently situated within the last viable window for governance intervention. This layer provides the causal explanation for this paper’s RQ1.</w:t>
      </w:r>
    </w:p>
    <w:p>
      <w:pPr>
        <w:pStyle w:val="BodyText"/>
      </w:pPr>
      <w:r>
        <w:rPr>
          <w:b/>
          <w:bCs/>
        </w:rPr>
        <w:t xml:space="preserve">Layer 2: Risk Characterisation (Supply Chain Risk + Wieringa 2020 Framework).</w:t>
      </w:r>
      <w:r>
        <w:t xml:space="preserve"> </w:t>
      </w:r>
      <w:r>
        <w:t xml:space="preserve">Supply chain risk theory addresses</w:t>
      </w:r>
      <w:r>
        <w:t xml:space="preserve"> </w:t>
      </w:r>
      <w:r>
        <w:t xml:space="preserve">“what risks the governance absence produces”</w:t>
      </w:r>
      <w:r>
        <w:t xml:space="preserve">—how governance deficiency across the full chain from creation to usage is validated by the security incidents documented in the HKCERT report. Wieringa’s (2020) four-dimensional framework provides the construct basis for the systematic assessment of risks. This layer transforms the abstract governance lag into concrete, auditable risk characterisations.</w:t>
      </w:r>
    </w:p>
    <w:p>
      <w:pPr>
        <w:pStyle w:val="BodyText"/>
      </w:pPr>
      <w:r>
        <w:rPr>
          <w:b/>
          <w:bCs/>
        </w:rPr>
        <w:t xml:space="preserve">Layer 3: Anticipatory Response (Anticipatory Governance + DSR).</w:t>
      </w:r>
      <w:r>
        <w:t xml:space="preserve"> </w:t>
      </w:r>
      <w:r>
        <w:t xml:space="preserve">Guston’s (2014) anticipatory governance theory addresses</w:t>
      </w:r>
      <w:r>
        <w:t xml:space="preserve"> </w:t>
      </w:r>
      <w:r>
        <w:t xml:space="preserve">“how prevention should be achieved”</w:t>
      </w:r>
      <w:r>
        <w:t xml:space="preserve">—governance should not respond passively only after technological consequences have materialised, but should engage in forward-looking institutional design during the early stages of technological development. A central tenet of Guston’s framework is the importance of</w:t>
      </w:r>
      <w:r>
        <w:t xml:space="preserve"> </w:t>
      </w:r>
      <w:r>
        <w:t xml:space="preserve">“upstream public engagement”</w:t>
      </w:r>
      <w:r>
        <w:t xml:space="preserve"> </w:t>
      </w:r>
      <w:r>
        <w:t xml:space="preserve">and</w:t>
      </w:r>
      <w:r>
        <w:t xml:space="preserve"> </w:t>
      </w:r>
      <w:r>
        <w:t xml:space="preserve">“midstream modulation”</w:t>
      </w:r>
      <w:r>
        <w:t xml:space="preserve">—governance should be shaped not solely by technical experts but through inclusive, multi-stakeholder deliberation involving developers, users, regulators, and civil society organisations. The R-Skills governance standard proposed in this paper represents an attempt at upstream technical design—embedding governance interfaces into the skill specification before the ecosystem becomes locked in. However, it is important to acknowledge that the standard, as currently conceived, addresses only the technical dimension of anticipatory governance. The institutional dimensions—who governs the governance standard itself, how conflicts between stakeholder interests are resolved, and how compliance is incentivised and enforced—require multi-stakeholder deliberation processes that are beyond the scope of a single research study but essential to the realisation of Guston’s anticipatory governance vision. The Design Science Research (DSR) methodology (Hevner et al., 2004) provides a systematic approach for translating anticipatory governance principles into actionable technical solutions, whilst the limitations of this approach—and the complementary institutional measures needed—are discussed in Sections 5.2 and 6. This layer provides the design guidance for this paper’s RQ2.</w:t>
      </w:r>
    </w:p>
    <w:p>
      <w:pPr>
        <w:pStyle w:val="BodyText"/>
      </w:pPr>
      <w:r>
        <w:t xml:space="preserve">The logical progression among the three layers is:</w:t>
      </w:r>
      <w:r>
        <w:t xml:space="preserve"> </w:t>
      </w:r>
      <w:r>
        <w:rPr>
          <w:b/>
          <w:bCs/>
        </w:rPr>
        <w:t xml:space="preserve">lag diagnosis</w:t>
      </w:r>
      <w:r>
        <w:t xml:space="preserve"> </w:t>
      </w:r>
      <w:r>
        <w:t xml:space="preserve">reveals the root causes and urgency of the problem,</w:t>
      </w:r>
      <w:r>
        <w:t xml:space="preserve"> </w:t>
      </w:r>
      <w:r>
        <w:rPr>
          <w:b/>
          <w:bCs/>
        </w:rPr>
        <w:t xml:space="preserve">risk characterisation</w:t>
      </w:r>
      <w:r>
        <w:t xml:space="preserve"> </w:t>
      </w:r>
      <w:r>
        <w:t xml:space="preserve">concretises the problem into auditable governance gaps, and</w:t>
      </w:r>
      <w:r>
        <w:t xml:space="preserve"> </w:t>
      </w:r>
      <w:r>
        <w:rPr>
          <w:b/>
          <w:bCs/>
        </w:rPr>
        <w:t xml:space="preserve">anticipatory response</w:t>
      </w:r>
      <w:r>
        <w:t xml:space="preserve"> </w:t>
      </w:r>
      <w:r>
        <w:t xml:space="preserve">explores technically feasible governance solutions under the temporal constraints of Collingridge’s Dilemma. The integrated framework proposed by Diaz-Rodriguez et al. (2023), spanning from ethical principles through system design to regulatory compliance, provides macro-level guidance for the realisation direction of this anticipatory governance approach, but the micro-level implementation pathway within the specific context of agent skill ecosystems remains to be explored—which is precisely the entry point of this paper’s design science research.</w:t>
      </w:r>
    </w:p>
    <w:p>
      <w:r>
        <w:pict>
          <v:rect style="width:0;height:1.5pt" o:hralign="center" o:hrstd="t" o:hr="t"/>
        </w:pict>
      </w:r>
    </w:p>
    <w:bookmarkEnd w:id="36"/>
    <w:bookmarkEnd w:id="37"/>
    <w:bookmarkStart w:id="50" w:name="research-methods"/>
    <w:p>
      <w:pPr>
        <w:pStyle w:val="Heading2"/>
      </w:pPr>
      <w:r>
        <w:t xml:space="preserve">4. Research Methods</w:t>
      </w:r>
    </w:p>
    <w:bookmarkStart w:id="38" w:name="methodological-positioning"/>
    <w:p>
      <w:pPr>
        <w:pStyle w:val="Heading3"/>
      </w:pPr>
      <w:r>
        <w:t xml:space="preserve">4.1 Methodological Positioning</w:t>
      </w:r>
    </w:p>
    <w:p>
      <w:pPr>
        <w:pStyle w:val="FirstParagraph"/>
      </w:pPr>
      <w:r>
        <w:t xml:space="preserve">This study adopts the Design Science Research (DSR) methodology, following the IS design science research framework proposed by Hevner et al. (2004). The core objective of DSR is to address significant organisational problems through the creation and evaluation of artefacts, and to develop design theory on this basis. The research activities of this paper comprise two interrelated phases: field observation (problem identification and characterisation) and artefact design (construction of an exploratory prototype).</w:t>
      </w:r>
    </w:p>
    <w:p>
      <w:pPr>
        <w:pStyle w:val="BodyText"/>
      </w:pPr>
      <w:r>
        <w:t xml:space="preserve">It should be clarified that this paper is positioned as an exploratory design science study situated at the intersection of</w:t>
      </w:r>
      <w:r>
        <w:t xml:space="preserve"> </w:t>
      </w:r>
      <w:r>
        <w:t xml:space="preserve">“problem identification and motivation”</w:t>
      </w:r>
      <w:r>
        <w:t xml:space="preserve"> </w:t>
      </w:r>
      <w:r>
        <w:t xml:space="preserve">and</w:t>
      </w:r>
      <w:r>
        <w:t xml:space="preserve"> </w:t>
      </w:r>
      <w:r>
        <w:t xml:space="preserve">“preliminary artefact design”</w:t>
      </w:r>
      <w:r>
        <w:t xml:space="preserve"> </w:t>
      </w:r>
      <w:r>
        <w:t xml:space="preserve">within the DSR classification (Hevner et al., 2004; Pries-Heje et al., 2008). The study’s primary contribution lies in the rigorous characterisation of a significant organisational problem—the responsibility vacuum—through systematic cross-platform empirical observation, and in the construction of a conceptual prototype that demonstrates the technical plausibility of a governance pathway. This paper does not claim that the proposed prototype constitutes a validated solution; rather, it is positioned as a conceptual trigger intended to stimulate scholarly dialogue and provide a concrete artefact for subsequent empirical validation. The evaluation activities described in Section 4.3.5 provide preliminary evidence of the prototype’s internal consistency and conceptual feasibility, but they do not satisfy the methodological requirements for</w:t>
      </w:r>
      <w:r>
        <w:t xml:space="preserve"> </w:t>
      </w:r>
      <w:r>
        <w:t xml:space="preserve">“Initial Validation”</w:t>
      </w:r>
      <w:r>
        <w:t xml:space="preserve"> </w:t>
      </w:r>
      <w:r>
        <w:t xml:space="preserve">as defined by Pries-Heje et al. (2008), which would demand more robust forms of evidence such as independent expert review, controlled experiments, or multi-platform deployment testing.</w:t>
      </w:r>
    </w:p>
    <w:bookmarkEnd w:id="38"/>
    <w:bookmarkStart w:id="43" w:name="Xd0c89a42f825574e0642fd5ccf48cadd15bc094"/>
    <w:p>
      <w:pPr>
        <w:pStyle w:val="Heading3"/>
      </w:pPr>
      <w:r>
        <w:t xml:space="preserve">4.2 Field Observation: Cross-Platform Skill Ecosystem Audit</w:t>
      </w:r>
    </w:p>
    <w:bookmarkStart w:id="39" w:name="objects-of-observation"/>
    <w:p>
      <w:pPr>
        <w:pStyle w:val="Heading4"/>
      </w:pPr>
      <w:r>
        <w:t xml:space="preserve">4.2.1 Objects of Observation</w:t>
      </w:r>
    </w:p>
    <w:p>
      <w:pPr>
        <w:pStyle w:val="FirstParagraph"/>
      </w:pPr>
      <w:r>
        <w:t xml:space="preserve">This study selected three representative agent platforms for in-depth audit as the core field observation subjects, and further extended the scope to two international platforms for confirmatory audit, covering different technological approaches, business models, and user communities:</w:t>
      </w:r>
    </w:p>
    <w:p>
      <w:pPr>
        <w:pStyle w:val="BodyText"/>
      </w:pPr>
      <w:r>
        <w:rPr>
          <w:b/>
          <w:bCs/>
        </w:rPr>
        <w:t xml:space="preserve">Platform 1: Zhipu Z.AI.</w:t>
      </w:r>
      <w:r>
        <w:t xml:space="preserve"> </w:t>
      </w:r>
      <w:r>
        <w:t xml:space="preserve">A leading domestic artificial intelligence enterprise whose agent platform provides end users with a skilful ecosystem conforming to the AgentSkills.io specification. The platform is configured by default with 55 skills, covering the following functional categories: data processing (14 skills), information retrieval (12 skills), content generation (10 skills), communication and interaction (8 skills), system operations (7 skills), and governance and meta-operations (5 skills). In addition, the researcher developed the 56th skill online on this platform as the development environment—a meta-skill prototype entitled</w:t>
      </w:r>
      <w:r>
        <w:t xml:space="preserve"> </w:t>
      </w:r>
      <w:r>
        <w:t xml:space="preserve">“Responsibility Shield.”</w:t>
      </w:r>
      <w:r>
        <w:t xml:space="preserve"> </w:t>
      </w:r>
      <w:r>
        <w:t xml:space="preserve">Thus, a total of 56 skills were identifiable on this platform, of which 55 were platform-default configurations (all lacking responsibility mechanisms) and one was a governance-oriented meta-skill developed by the researcher.</w:t>
      </w:r>
    </w:p>
    <w:p>
      <w:pPr>
        <w:pStyle w:val="BodyText"/>
      </w:pPr>
      <w:r>
        <w:rPr>
          <w:b/>
          <w:bCs/>
        </w:rPr>
        <w:t xml:space="preserve">Platform 2: Coze.</w:t>
      </w:r>
      <w:r>
        <w:t xml:space="preserve"> </w:t>
      </w:r>
      <w:r>
        <w:t xml:space="preserve">An agent development platform launched by ByteDance, which builds its skill ecosystem in accordance with the AgentSkills.io specification. The platform offers three sources of skills: (a) platform pre-installed skills, totalling 39, covering content creation (PPT generation, WeChat Official Account article publication, Douyin copywriting), enterprise collaboration (Feishu message sending, multidimensional spreadsheet management, document operations), browser automation (capable of performing logins, form filling, data submission), file processing (PDF, Word, Excel), professional analysis (investment knowledge presentation, business analysis), and creative tools (comic generation, 3D icons, data visualisation, topic tracking); (b) Xiaping marketplace (xiaping.coze.site) skills; and (c) ClawHub skill marketplace. The researcher conducted a systematic audit of the 39 platform pre-installed skills.</w:t>
      </w:r>
    </w:p>
    <w:p>
      <w:pPr>
        <w:pStyle w:val="BodyText"/>
      </w:pPr>
      <w:r>
        <w:rPr>
          <w:b/>
          <w:bCs/>
        </w:rPr>
        <w:t xml:space="preserve">Platform 3: WorkBuddy.</w:t>
      </w:r>
      <w:r>
        <w:t xml:space="preserve"> </w:t>
      </w:r>
      <w:r>
        <w:t xml:space="preserve">An all-scenario AI agent desktop workstation officially released by Tencent on 9 March 2026, colloquially known as</w:t>
      </w:r>
      <w:r>
        <w:t xml:space="preserve"> </w:t>
      </w:r>
      <w:r>
        <w:t xml:space="preserve">“Tencent’s Little Lobster.”</w:t>
      </w:r>
      <w:r>
        <w:t xml:space="preserve"> </w:t>
      </w:r>
      <w:r>
        <w:t xml:space="preserve">WorkBuddy is independently developed based on Tencent’s proprietary CodeBuddy architecture, fully compatible with the OpenClaw skill system (Skills), equipped with over 20 built-in utility skill packs, supporting the MCP (Model Context Protocol) for external tool integration, and enabling remote task execution via instant messaging tools including WeChat, Enterprise WeChat, QQ, Feishu, and DingTalk. Following its release, user traffic significantly exceeded expectations, and Tencent’s Hong Kong-listed stock price rose by 3% as a result. The researcher installed and audited 62 skills in a controlled research environment, comprising 17 built-in system commands, 8 user-installed skills, and 37 plugin marketplace skills. The skills covered email management (3 independent skills), code repository operations (GitHub 2, CNB, and Tencent CodeBee totalling 4), browser automation (2), social media operations, file processing, image generation, and other domains. One governance skill (skill-vetter) existed in this environment, possessing pre-installation security review functionality.</w:t>
      </w:r>
    </w:p>
    <w:p>
      <w:pPr>
        <w:pStyle w:val="BodyText"/>
      </w:pPr>
      <w:r>
        <w:rPr>
          <w:b/>
          <w:bCs/>
        </w:rPr>
        <w:t xml:space="preserve">Extended audit phase.</w:t>
      </w:r>
      <w:r>
        <w:t xml:space="preserve"> </w:t>
      </w:r>
      <w:r>
        <w:t xml:space="preserve">To examine the cross-cultural and cross-specification generalisability of the core audit findings, the researcher further extended the audit scope to two international platforms: the Claude Skills ecosystem under Anthropic (claudeskills.info 140+ skills, SkillsLLM 1600+ skills) and the open-source community platform OpenClaw/ClawHub (500+ skills). The extended audit was primarily completed through structural analysis of publicly available skill descriptions and the AgentSkills.io specification (see Tables 5 and 6 in Section 4.2.4 for details).</w:t>
      </w:r>
    </w:p>
    <w:p>
      <w:pPr>
        <w:pStyle w:val="BodyText"/>
      </w:pPr>
      <w:r>
        <w:rPr>
          <w:b/>
          <w:bCs/>
        </w:rPr>
        <w:t xml:space="preserve">Theoretical sampling design.</w:t>
      </w:r>
      <w:r>
        <w:t xml:space="preserve"> </w:t>
      </w:r>
      <w:r>
        <w:t xml:space="preserve">The selection of the above five platforms followed the principle of theoretical sampling: Zhipu Z.AI represents the platformisation path of domestic AI-native enterprises; Coze represents the agent development platform path through which an internet giant enters the AI domain with an ecosystem strategy; WorkBuddy represents the product path through which an internet giant directly serves end users in the form of an AI agent desktop workstation; Claude Skills represents the skill ecosystem path of international AI enterprises; and OpenClaw/ClawHub represents the skill platform path of the open-source community. The five platforms exhibit significant differences in technological architecture, user communities, and commercial objectives, yet demonstrate a high degree of consistency in their audit results along the governance dimension—this cross-case consistency provides robust theoretical sampling validity for this study.</w:t>
      </w:r>
    </w:p>
    <w:bookmarkEnd w:id="39"/>
    <w:bookmarkStart w:id="40" w:name="audit-methodology"/>
    <w:p>
      <w:pPr>
        <w:pStyle w:val="Heading4"/>
      </w:pPr>
      <w:r>
        <w:t xml:space="preserve">4.2.2 Audit Methodology</w:t>
      </w:r>
    </w:p>
    <w:p>
      <w:pPr>
        <w:pStyle w:val="FirstParagraph"/>
      </w:pPr>
      <w:r>
        <w:t xml:space="preserve">This paper conducted an in-depth audit of each of the 156 skills across the three core platforms, and performed a confirmatory audit of the 2500+ skills on the two extended platforms based on specification analysis. The audit framework is grounded in the four-dimensional framework of algorithmic accountability proposed by Wieringa (2020)—Transparency, Explainability, Contestability, and Auditability—and was contextually adapted to the specificities of the agent skill ecosystem, yielding the following four audit dimensions:</w:t>
      </w:r>
    </w:p>
    <w:p>
      <w:pPr>
        <w:pStyle w:val="Compact"/>
        <w:numPr>
          <w:ilvl w:val="0"/>
          <w:numId w:val="1001"/>
        </w:numPr>
      </w:pPr>
      <w:r>
        <w:rPr>
          <w:b/>
          <w:bCs/>
        </w:rPr>
        <w:t xml:space="preserve">Transparency</w:t>
      </w:r>
      <w:r>
        <w:t xml:space="preserve">: Whether the skill description includes impact scope declarations, permission boundary statements, or usage restriction statements—corresponding to the</w:t>
      </w:r>
      <w:r>
        <w:t xml:space="preserve"> </w:t>
      </w:r>
      <w:r>
        <w:t xml:space="preserve">“information accessibility”</w:t>
      </w:r>
      <w:r>
        <w:t xml:space="preserve"> </w:t>
      </w:r>
      <w:r>
        <w:t xml:space="preserve">dimension of Wieringa (2020), assessing whether users can adequately understand the capability boundaries and potential impacts of a skill;</w:t>
      </w:r>
    </w:p>
    <w:p>
      <w:pPr>
        <w:pStyle w:val="Compact"/>
        <w:numPr>
          <w:ilvl w:val="0"/>
          <w:numId w:val="1001"/>
        </w:numPr>
      </w:pPr>
      <w:r>
        <w:rPr>
          <w:b/>
          <w:bCs/>
        </w:rPr>
        <w:t xml:space="preserve">Explainability</w:t>
      </w:r>
      <w:r>
        <w:t xml:space="preserve">: Whether the skill’s execution process can be understood and traced by users—assessing whether the skill provides execution logs, behaviour descriptions, or status feedback that enable users to comprehend its behavioural pathways during operation. It should be noted that this operationalisation—focusing on the comprehensibility of execution processes—represents one facet of Wieringa’s (2020) broader explainability concept, which originally encompasses the ability to understand</w:t>
      </w:r>
      <w:r>
        <w:t xml:space="preserve"> </w:t>
      </w:r>
      <w:r>
        <w:rPr>
          <w:i/>
          <w:iCs/>
        </w:rPr>
        <w:t xml:space="preserve">why</w:t>
      </w:r>
      <w:r>
        <w:t xml:space="preserve"> </w:t>
      </w:r>
      <w:r>
        <w:t xml:space="preserve">an algorithmic system produced a particular output or decision. In the context of agent skills driven by natural language prompts, the</w:t>
      </w:r>
      <w:r>
        <w:t xml:space="preserve"> </w:t>
      </w:r>
      <w:r>
        <w:t xml:space="preserve">“why”</w:t>
      </w:r>
      <w:r>
        <w:t xml:space="preserve"> </w:t>
      </w:r>
      <w:r>
        <w:t xml:space="preserve">question is inherently difficult to address through static skill metadata, as the actual reasoning process is emergent from the interaction between the skill’s prompt and the runtime context. The audit framework adopted in this paper therefore captures explainability primarily at the level of behavioural transparency (understanding</w:t>
      </w:r>
      <w:r>
        <w:t xml:space="preserve"> </w:t>
      </w:r>
      <w:r>
        <w:rPr>
          <w:i/>
          <w:iCs/>
        </w:rPr>
        <w:t xml:space="preserve">what</w:t>
      </w:r>
      <w:r>
        <w:t xml:space="preserve"> </w:t>
      </w:r>
      <w:r>
        <w:t xml:space="preserve">the skill does during execution) rather than decision rationale (understanding</w:t>
      </w:r>
      <w:r>
        <w:t xml:space="preserve"> </w:t>
      </w:r>
      <w:r>
        <w:rPr>
          <w:i/>
          <w:iCs/>
        </w:rPr>
        <w:t xml:space="preserve">why</w:t>
      </w:r>
      <w:r>
        <w:t xml:space="preserve"> </w:t>
      </w:r>
      <w:r>
        <w:t xml:space="preserve">the skill chose a particular course of action). This contextual adaptation introduces a degree of construct narrowing that is further discussed in the limitations;</w:t>
      </w:r>
    </w:p>
    <w:p>
      <w:pPr>
        <w:pStyle w:val="Compact"/>
        <w:numPr>
          <w:ilvl w:val="0"/>
          <w:numId w:val="1001"/>
        </w:numPr>
      </w:pPr>
      <w:r>
        <w:rPr>
          <w:b/>
          <w:bCs/>
        </w:rPr>
        <w:t xml:space="preserve">Contestability</w:t>
      </w:r>
      <w:r>
        <w:t xml:space="preserve">: Whether skill execution requires explicit user authorisation, and whether users can challenge, revoke, or trace back executed operations—corresponding to the unity of</w:t>
      </w:r>
      <w:r>
        <w:t xml:space="preserve"> </w:t>
      </w:r>
      <w:r>
        <w:t xml:space="preserve">“intelligibility”</w:t>
      </w:r>
      <w:r>
        <w:t xml:space="preserve"> </w:t>
      </w:r>
      <w:r>
        <w:t xml:space="preserve">and</w:t>
      </w:r>
      <w:r>
        <w:t xml:space="preserve"> </w:t>
      </w:r>
      <w:r>
        <w:t xml:space="preserve">“visibility”</w:t>
      </w:r>
      <w:r>
        <w:t xml:space="preserve"> </w:t>
      </w:r>
      <w:r>
        <w:t xml:space="preserve">emphasised by Ananny (2018), assessing users’ control over skill behaviour;</w:t>
      </w:r>
    </w:p>
    <w:p>
      <w:pPr>
        <w:pStyle w:val="Compact"/>
        <w:numPr>
          <w:ilvl w:val="0"/>
          <w:numId w:val="1001"/>
        </w:numPr>
      </w:pPr>
      <w:r>
        <w:rPr>
          <w:b/>
          <w:bCs/>
        </w:rPr>
        <w:t xml:space="preserve">Auditability</w:t>
      </w:r>
      <w:r>
        <w:t xml:space="preserve">: Whether the skill incorporates built-in execution logs, behaviour tracking, or external audit interfaces—corresponding to Bandy’s (2021) concern with</w:t>
      </w:r>
      <w:r>
        <w:t xml:space="preserve"> </w:t>
      </w:r>
      <w:r>
        <w:t xml:space="preserve">“audit technique trustworthiness,”</w:t>
      </w:r>
      <w:r>
        <w:t xml:space="preserve"> </w:t>
      </w:r>
      <w:r>
        <w:t xml:space="preserve">assessing the capacity for post-hoc behaviour tracing and responsibility attribution.</w:t>
      </w:r>
    </w:p>
    <w:p>
      <w:pPr>
        <w:pStyle w:val="FirstParagraph"/>
      </w:pPr>
      <w:r>
        <w:t xml:space="preserve">The theoretical foundations of the four audit dimensions above draw upon three complementary scholarly traditions: (a) Wieringa’s (2020) systematic literature review of algorithmic accountability provided the original theoretical structure for the four-dimensional framework; (b) Ananny’s (2018) critical analysis of the limitations of transparency provided deep theoretical support for the contestability dimension; and (c) Bandy’s (2021) review of algorithmic audit methodologies offered methodological guidance for the auditability dimension. This paper applies this framework to the specific context of the agent skill ecosystem and makes two contextual adaptations: first, refining</w:t>
      </w:r>
      <w:r>
        <w:t xml:space="preserve"> </w:t>
      </w:r>
      <w:r>
        <w:t xml:space="preserve">“transparency”</w:t>
      </w:r>
      <w:r>
        <w:t xml:space="preserve"> </w:t>
      </w:r>
      <w:r>
        <w:t xml:space="preserve">into static transparency (governance information within skill metadata) and dynamic transparency (runtime behaviour information); second, explicitly extending</w:t>
      </w:r>
      <w:r>
        <w:t xml:space="preserve"> </w:t>
      </w:r>
      <w:r>
        <w:t xml:space="preserve">“contestability”</w:t>
      </w:r>
      <w:r>
        <w:t xml:space="preserve"> </w:t>
      </w:r>
      <w:r>
        <w:t xml:space="preserve">to encompass two sub-dimensions—pre-authorisation (informed consent) and post-authorisation (revocation/tracing).</w:t>
      </w:r>
    </w:p>
    <w:p>
      <w:pPr>
        <w:pStyle w:val="BodyText"/>
      </w:pPr>
      <w:r>
        <w:t xml:space="preserve">The audit was completed through systematic content analysis of each skill’s metadata file (containing natural language descriptions, parameter definitions, and trigger conditions). To enhance the reliability of the coding process, the researcher developed a detailed audit protocol specifying explicit coding criteria for each of the four Wieringa (2020) dimensions, including operational definitions, decision rules for borderline cases, and illustrative examples drawn from a preliminary scan of the skill population. The audit was conducted iteratively: an initial coding pass was followed by a review pass in which borderline cases were re-examined against the coding criteria. For WorkBuddy, the researcher further conducted a classified audit of the 62 skills by risk level: high-risk (15), medium-risk (12), low-risk (10), governance/auxiliary (8), and general utility (12, including those among the 17 built-in system commands not covered by the preceding categories). It should be acknowledged that the audit was conducted by a single researcher, and the absence of a second independent coder means that inter-rater reliability metrics (such as Cohen’s Kappa or Fleiss’ Kappa) are not available. The systematic audit protocol and explicit coding criteria partially mitigate this limitation by reducing subjective judgment, but the potential for researcher bias—particularly confirmation bias given the researcher’s prior theoretical expectations—cannot be fully excluded. Future replications of this audit by independent research teams would provide the reliability validation that the current study lacks.</w:t>
      </w:r>
    </w:p>
    <w:bookmarkEnd w:id="40"/>
    <w:bookmarkStart w:id="41" w:name="audit-findings"/>
    <w:p>
      <w:pPr>
        <w:pStyle w:val="Heading4"/>
      </w:pPr>
      <w:r>
        <w:t xml:space="preserve">4.2.3 Audit Findings</w:t>
      </w:r>
    </w:p>
    <w:p>
      <w:pPr>
        <w:pStyle w:val="FirstParagraph"/>
      </w:pPr>
      <w:r>
        <w:t xml:space="preserve">The cross-platform audit results reveal a highly consistent governance deficit:</w:t>
      </w:r>
    </w:p>
    <w:p>
      <w:pPr>
        <w:pStyle w:val="BodyText"/>
      </w:pPr>
      <w:r>
        <w:rPr>
          <w:b/>
          <w:bCs/>
        </w:rPr>
        <w:t xml:space="preserve">Finding 1: Universal absence of responsibility declarations.</w:t>
      </w:r>
      <w:r>
        <w:t xml:space="preserve"> </w:t>
      </w:r>
      <w:r>
        <w:t xml:space="preserve">Among the 55 default skills on Zhipu Z.AI and the 39 platform skills on Coze, not a single one contained a responsibility declaration—a 100% responsibility declaration absence rate. Among the 62 skills on WorkBuddy, only skill-vetter possessed partial security review functionality (⚠️), yielding a responsibility declaration absence rate of 98.4%. All skill descriptions focused exclusively on functional explanations (</w:t>
      </w:r>
      <w:r>
        <w:t xml:space="preserve">“what it does”</w:t>
      </w:r>
      <w:r>
        <w:t xml:space="preserve">), without addressing responsibility considerations (</w:t>
      </w:r>
      <w:r>
        <w:t xml:space="preserve">“what impacts may arise,”</w:t>
      </w:r>
      <w:r>
        <w:t xml:space="preserve"> </w:t>
      </w:r>
      <w:r>
        <w:t xml:space="preserve">“what precautions should be taken during use”</w:t>
      </w:r>
      <w:r>
        <w:t xml:space="preserve">). The only skill to fully incorporate a responsibility declaration was the</w:t>
      </w:r>
      <w:r>
        <w:t xml:space="preserve"> </w:t>
      </w:r>
      <w:r>
        <w:t xml:space="preserve">“Responsibility Shield”</w:t>
      </w:r>
      <w:r>
        <w:t xml:space="preserve"> </w:t>
      </w:r>
      <w:r>
        <w:t xml:space="preserve">meta-skill prototype developed online by the researcher on the Zhipu Z.AI platform—which itself serves as telling evidence that unless a researcher proactively constructs governance mechanisms, the platform itself provides no skill-level responsibility safeguards.</w:t>
      </w:r>
    </w:p>
    <w:p>
      <w:pPr>
        <w:pStyle w:val="BodyText"/>
      </w:pPr>
      <w:r>
        <w:rPr>
          <w:b/>
          <w:bCs/>
        </w:rPr>
        <w:t xml:space="preserve">Finding 2: Structural void in Auditability.</w:t>
      </w:r>
      <w:r>
        <w:t xml:space="preserve"> </w:t>
      </w:r>
      <w:r>
        <w:t xml:space="preserve">Across all audited skills on the five platforms, zero skills incorporated built-in execution logs or behaviour tracking mechanisms. Although some form of call logging may exist at the platform level, the absence of standardised audit interfaces at the skill level renders cross-skill behavioural auditing infeasible. This systematic absence of auditability demonstrates a high degree of consistency across all five platforms and resonates with the core concern raised by Bandy (2021) regarding algorithmic audit methodologies—when audit mechanisms themselves do not exist, any external audit effort is rendered moot.</w:t>
      </w:r>
    </w:p>
    <w:p>
      <w:pPr>
        <w:pStyle w:val="BodyText"/>
      </w:pPr>
      <w:r>
        <w:rPr>
          <w:b/>
          <w:bCs/>
        </w:rPr>
        <w:t xml:space="preserve">Finding 3: Complete absence of Contestability.</w:t>
      </w:r>
      <w:r>
        <w:t xml:space="preserve"> </w:t>
      </w:r>
      <w:r>
        <w:t xml:space="preserve">None of the five platforms implemented any form of authorisation confirmation process. The vast majority of skills adopt a</w:t>
      </w:r>
      <w:r>
        <w:t xml:space="preserve"> </w:t>
      </w:r>
      <w:r>
        <w:t xml:space="preserve">“silent execution”</w:t>
      </w:r>
      <w:r>
        <w:t xml:space="preserve"> </w:t>
      </w:r>
      <w:r>
        <w:t xml:space="preserve">mode—once selected by an agent, they execute automatically without requiring explicit user authorisation. Users can neither receive adequate risk warnings prior to skill execution nor challenge or revoke operations after execution—both sub-dimensions of contestability (pre-authorisation informed consent and post-authorisation revocation/tracing) are entirely absent. The high-risk operations on the Coze platform are particularly noteworthy: WeChat Official Account article publication can produce irreversible public content; Feishu cross-user operations directly involve accessing and modifying other users’ data; and browser automation can perform login, form filling, and even data submission—sensitive system operations. In traditional HCI models, such operations require multi-step confirmation mechanisms to obtain explicit user authorisation, whereas in the Skills model these confirmation stages are entirely omitted. This finding corroborates Ananny’s (2018) central argument—merely making skill behaviour</w:t>
      </w:r>
      <w:r>
        <w:t xml:space="preserve"> </w:t>
      </w:r>
      <w:r>
        <w:t xml:space="preserve">“visible”</w:t>
      </w:r>
      <w:r>
        <w:t xml:space="preserve"> </w:t>
      </w:r>
      <w:r>
        <w:t xml:space="preserve">is insufficient; it must also be made</w:t>
      </w:r>
      <w:r>
        <w:t xml:space="preserve"> </w:t>
      </w:r>
      <w:r>
        <w:t xml:space="preserve">“intelligible”</w:t>
      </w:r>
      <w:r>
        <w:t xml:space="preserve"> </w:t>
      </w:r>
      <w:r>
        <w:t xml:space="preserve">and</w:t>
      </w:r>
      <w:r>
        <w:t xml:space="preserve"> </w:t>
      </w:r>
      <w:r>
        <w:t xml:space="preserve">“contestable.”</w:t>
      </w:r>
    </w:p>
    <w:p>
      <w:pPr>
        <w:pStyle w:val="BodyText"/>
      </w:pPr>
      <w:r>
        <w:rPr>
          <w:b/>
          <w:bCs/>
        </w:rPr>
        <w:t xml:space="preserve">Finding 4: Severe deficiency in Transparency.</w:t>
      </w:r>
      <w:r>
        <w:t xml:space="preserve"> </w:t>
      </w:r>
      <w:r>
        <w:t xml:space="preserve">Users are unable to ascertain the scope of permissions required by a skill. None of the audited skills declared the system permissions, data access scope, or network request targets required for their operations. Furthermore, skill descriptions focused exclusively on functional explanations (</w:t>
      </w:r>
      <w:r>
        <w:t xml:space="preserve">“what it does”</w:t>
      </w:r>
      <w:r>
        <w:t xml:space="preserve">) without addressing impact assessment (</w:t>
      </w:r>
      <w:r>
        <w:t xml:space="preserve">“what consequences follow execution”</w:t>
      </w:r>
      <w:r>
        <w:t xml:space="preserve">) or usage restrictions (</w:t>
      </w:r>
      <w:r>
        <w:t xml:space="preserve">“under what conditions it should not be used”</w:t>
      </w:r>
      <w:r>
        <w:t xml:space="preserve">), preventing users from making informed decisions when invoking skills.</w:t>
      </w:r>
    </w:p>
    <w:p>
      <w:pPr>
        <w:pStyle w:val="BodyText"/>
      </w:pPr>
      <w:r>
        <w:rPr>
          <w:b/>
          <w:bCs/>
        </w:rPr>
        <w:t xml:space="preserve">Finding 5: Extreme scarcity of governance-oriented skills.</w:t>
      </w:r>
      <w:r>
        <w:t xml:space="preserve"> </w:t>
      </w:r>
      <w:r>
        <w:t xml:space="preserve">The proportion of governance skills on Zhipu Z.AI was 1.8% (1/56), on WorkBuddy 1.6% (1/62), and the proportion of governance-oriented skills on Claude Skills and OpenClaw/ClawHub similarly approached zero. Moreover, the existing governance skill (skill-vetter) only performs static code review prior to skill installation and lacks runtime governance capabilities (execution confirmation, operational auditing, risk interruption), with its auditability and contestability falling far short of the basic requirements of Wieringa’s (2020) four-dimensional framework.</w:t>
      </w:r>
    </w:p>
    <w:p>
      <w:pPr>
        <w:pStyle w:val="BodyText"/>
      </w:pPr>
      <w:r>
        <w:rPr>
          <w:b/>
          <w:bCs/>
        </w:rPr>
        <w:t xml:space="preserve">Finding 6: Undifferentiated exposure of high-risk operations.</w:t>
      </w:r>
      <w:r>
        <w:t xml:space="preserve"> </w:t>
      </w:r>
      <w:r>
        <w:t xml:space="preserve">The 15 high-risk operation skills on WorkBuddy (accounting for 24.2%) spanned five categories: external communication (7), code repositories (4), browser automation (2), design file access (1), and workspace access (1). These skills could execute sensitive operations—such as sending/reading emails, modifying code/merging pull requests, and extracting web data—without any authorisation confirmation. The estimated total number of high-risk operation skills across the five platforms exceeds 100 (Claude Skills and OpenClaw/ClawHub respectively cover code repository operations, file system access, network requests, local file operations, and automated workflows, among other high-risk domains), and their undifferentiated exposure constitutes a systemic security vulnerability. The skill supply chain poisoning attack documented in the HKCERT (2026) report exploited precisely this dual absence of transparency and contestability.</w:t>
      </w:r>
    </w:p>
    <w:bookmarkEnd w:id="41"/>
    <w:bookmarkStart w:id="42" w:name="cross-platform-audit-data-summary"/>
    <w:p>
      <w:pPr>
        <w:pStyle w:val="Heading4"/>
      </w:pPr>
      <w:r>
        <w:t xml:space="preserve">4.2.4 Cross-Platform Audit Data Summary</w:t>
      </w:r>
    </w:p>
    <w:p>
      <w:pPr>
        <w:pStyle w:val="FirstParagraph"/>
      </w:pPr>
      <w:r>
        <w:rPr>
          <w:b/>
          <w:bCs/>
        </w:rPr>
        <w:t xml:space="preserve">Table 1: Basic Statistics of Skill Ecosystems</w:t>
      </w:r>
    </w:p>
    <w:tbl>
      <w:tblPr>
        <w:tblStyle w:val="Table"/>
        <w:tblW w:type="pct" w:w="5000"/>
        <w:tblLayout w:type="fixed"/>
        <w:tblLook w:firstRow="1" w:lastRow="0" w:firstColumn="0" w:lastColumn="0" w:noHBand="0" w:noVBand="0" w:val="0020"/>
      </w:tblPr>
      <w:tblGrid>
        <w:gridCol w:w="1516"/>
        <w:gridCol w:w="2022"/>
        <w:gridCol w:w="2190"/>
        <w:gridCol w:w="2190"/>
      </w:tblGrid>
      <w:tr>
        <w:trPr>
          <w:tblHeader w:val="on"/>
        </w:trPr>
        <w:tc>
          <w:tcPr/>
          <w:p>
            <w:pPr>
              <w:pStyle w:val="Compact"/>
            </w:pPr>
            <w:r>
              <w:t xml:space="preserve">Statistical Dimension</w:t>
            </w:r>
          </w:p>
        </w:tc>
        <w:tc>
          <w:tcPr/>
          <w:p>
            <w:pPr>
              <w:pStyle w:val="Compact"/>
            </w:pPr>
            <w:r>
              <w:t xml:space="preserve">Zhipu Z.AI Platform</w:t>
            </w:r>
          </w:p>
        </w:tc>
        <w:tc>
          <w:tcPr/>
          <w:p>
            <w:pPr>
              <w:pStyle w:val="Compact"/>
            </w:pPr>
            <w:r>
              <w:t xml:space="preserve">Coze Platform</w:t>
            </w:r>
          </w:p>
        </w:tc>
        <w:tc>
          <w:tcPr/>
          <w:p>
            <w:pPr>
              <w:pStyle w:val="Compact"/>
            </w:pPr>
            <w:r>
              <w:t xml:space="preserve">WorkBuddy</w:t>
            </w:r>
          </w:p>
        </w:tc>
      </w:tr>
      <w:tr>
        <w:tc>
          <w:tcPr/>
          <w:p>
            <w:pPr>
              <w:pStyle w:val="Compact"/>
            </w:pPr>
            <w:r>
              <w:t xml:space="preserve">Total number of skills</w:t>
            </w:r>
          </w:p>
        </w:tc>
        <w:tc>
          <w:tcPr/>
          <w:p>
            <w:pPr>
              <w:pStyle w:val="Compact"/>
            </w:pPr>
            <w:r>
              <w:t xml:space="preserve">55 + 1*</w:t>
            </w:r>
          </w:p>
        </w:tc>
        <w:tc>
          <w:tcPr/>
          <w:p>
            <w:pPr>
              <w:pStyle w:val="Compact"/>
            </w:pPr>
            <w:r>
              <w:t xml:space="preserve">39</w:t>
            </w:r>
          </w:p>
        </w:tc>
        <w:tc>
          <w:tcPr/>
          <w:p>
            <w:pPr>
              <w:pStyle w:val="Compact"/>
            </w:pPr>
            <w:r>
              <w:t xml:space="preserve">62</w:t>
            </w:r>
          </w:p>
        </w:tc>
      </w:tr>
      <w:tr>
        <w:tc>
          <w:tcPr/>
          <w:p>
            <w:pPr>
              <w:pStyle w:val="Compact"/>
            </w:pPr>
            <w:r>
              <w:t xml:space="preserve">Notes</w:t>
            </w:r>
          </w:p>
        </w:tc>
        <w:tc>
          <w:tcPr/>
          <w:p>
            <w:pPr>
              <w:pStyle w:val="Compact"/>
            </w:pPr>
            <w:r>
              <w:t xml:space="preserve">*The</w:t>
            </w:r>
            <w:r>
              <w:t xml:space="preserve"> </w:t>
            </w:r>
            <w:r>
              <w:t xml:space="preserve">“Responsibility Shield”</w:t>
            </w:r>
            <w:r>
              <w:t xml:space="preserve"> </w:t>
            </w:r>
            <w:r>
              <w:t xml:space="preserve">skill independently added by the researcher on the Zhipu platform</w:t>
            </w:r>
          </w:p>
        </w:tc>
        <w:tc>
          <w:tcPr/>
          <w:p>
            <w:pPr>
              <w:pStyle w:val="Compact"/>
            </w:pPr>
            <w:r>
              <w:t xml:space="preserve">Platform pre-installed skills</w:t>
            </w:r>
          </w:p>
        </w:tc>
        <w:tc>
          <w:tcPr/>
          <w:p>
            <w:pPr>
              <w:pStyle w:val="Compact"/>
            </w:pPr>
            <w:r>
              <w:t xml:space="preserve">17 built-in + 8 user-installed + 37 plugin</w:t>
            </w:r>
          </w:p>
        </w:tc>
      </w:tr>
      <w:tr>
        <w:tc>
          <w:tcPr/>
          <w:p>
            <w:pPr>
              <w:pStyle w:val="Compact"/>
            </w:pPr>
            <w:r>
              <w:t xml:space="preserve">Built-in/system skills</w:t>
            </w:r>
          </w:p>
        </w:tc>
        <w:tc>
          <w:tcPr/>
          <w:p>
            <w:pPr>
              <w:pStyle w:val="Compact"/>
            </w:pPr>
            <w:r>
              <w:t xml:space="preserve">55</w:t>
            </w:r>
          </w:p>
        </w:tc>
        <w:tc>
          <w:tcPr/>
          <w:p>
            <w:pPr>
              <w:pStyle w:val="Compact"/>
            </w:pPr>
            <w:r>
              <w:t xml:space="preserve">39</w:t>
            </w:r>
          </w:p>
        </w:tc>
        <w:tc>
          <w:tcPr/>
          <w:p>
            <w:pPr>
              <w:pStyle w:val="Compact"/>
            </w:pPr>
            <w:r>
              <w:t xml:space="preserve">17</w:t>
            </w:r>
          </w:p>
        </w:tc>
      </w:tr>
      <w:tr>
        <w:tc>
          <w:tcPr/>
          <w:p>
            <w:pPr>
              <w:pStyle w:val="Compact"/>
            </w:pPr>
            <w:r>
              <w:t xml:space="preserve">User-installed skills</w:t>
            </w:r>
          </w:p>
        </w:tc>
        <w:tc>
          <w:tcPr/>
          <w:p>
            <w:pPr>
              <w:pStyle w:val="Compact"/>
            </w:pPr>
            <w:r>
              <w:t xml:space="preserve">0</w:t>
            </w:r>
          </w:p>
        </w:tc>
        <w:tc>
          <w:tcPr/>
          <w:p>
            <w:pPr>
              <w:pStyle w:val="Compact"/>
            </w:pPr>
            <w:r>
              <w:t xml:space="preserve">—</w:t>
            </w:r>
          </w:p>
        </w:tc>
        <w:tc>
          <w:tcPr/>
          <w:p>
            <w:pPr>
              <w:pStyle w:val="Compact"/>
            </w:pPr>
            <w:r>
              <w:t xml:space="preserve">8</w:t>
            </w:r>
          </w:p>
        </w:tc>
      </w:tr>
      <w:tr>
        <w:tc>
          <w:tcPr/>
          <w:p>
            <w:pPr>
              <w:pStyle w:val="Compact"/>
            </w:pPr>
            <w:r>
              <w:t xml:space="preserve">Plugin/marketplace skills</w:t>
            </w:r>
          </w:p>
        </w:tc>
        <w:tc>
          <w:tcPr/>
          <w:p>
            <w:pPr>
              <w:pStyle w:val="Compact"/>
            </w:pPr>
            <w:r>
              <w:t xml:space="preserve">0</w:t>
            </w:r>
          </w:p>
        </w:tc>
        <w:tc>
          <w:tcPr/>
          <w:p>
            <w:pPr>
              <w:pStyle w:val="Compact"/>
            </w:pPr>
            <w:r>
              <w:t xml:space="preserve">—</w:t>
            </w:r>
          </w:p>
        </w:tc>
        <w:tc>
          <w:tcPr/>
          <w:p>
            <w:pPr>
              <w:pStyle w:val="Compact"/>
            </w:pPr>
            <w:r>
              <w:t xml:space="preserve">37</w:t>
            </w:r>
          </w:p>
        </w:tc>
      </w:tr>
      <w:tr>
        <w:tc>
          <w:tcPr/>
          <w:p>
            <w:pPr>
              <w:pStyle w:val="Compact"/>
            </w:pPr>
            <w:r>
              <w:t xml:space="preserve">Governance-oriented skills</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t xml:space="preserve">High-impact operation skills</w:t>
            </w:r>
          </w:p>
        </w:tc>
        <w:tc>
          <w:tcPr/>
          <w:p>
            <w:pPr>
              <w:pStyle w:val="Compact"/>
            </w:pPr>
            <w:r>
              <w:t xml:space="preserve">~25**</w:t>
            </w:r>
          </w:p>
        </w:tc>
        <w:tc>
          <w:tcPr/>
          <w:p>
            <w:pPr>
              <w:pStyle w:val="Compact"/>
            </w:pPr>
            <w:r>
              <w:t xml:space="preserve">~15***</w:t>
            </w:r>
          </w:p>
        </w:tc>
        <w:tc>
          <w:tcPr/>
          <w:p>
            <w:pPr>
              <w:pStyle w:val="Compact"/>
            </w:pPr>
            <w:r>
              <w:t xml:space="preserve">~15</w:t>
            </w:r>
          </w:p>
        </w:tc>
      </w:tr>
    </w:tbl>
    <w:p>
      <w:pPr>
        <w:pStyle w:val="BodyText"/>
      </w:pPr>
      <w:r>
        <w:rPr>
          <w:b/>
          <w:bCs/>
        </w:rPr>
        <w:t xml:space="preserve">Table 2: Summary of Skill Governance Audit Results (Based on Wieringa 2020 Four-Dimensional Framework)</w:t>
      </w:r>
    </w:p>
    <w:tbl>
      <w:tblPr>
        <w:tblStyle w:val="Table"/>
        <w:tblW w:type="pct" w:w="5000"/>
        <w:tblLayout w:type="fixed"/>
        <w:tblLook w:firstRow="1" w:lastRow="0" w:firstColumn="0" w:lastColumn="0" w:noHBand="0" w:noVBand="0" w:val="0020"/>
      </w:tblPr>
      <w:tblGrid>
        <w:gridCol w:w="925"/>
        <w:gridCol w:w="925"/>
        <w:gridCol w:w="1028"/>
        <w:gridCol w:w="1131"/>
        <w:gridCol w:w="1542"/>
        <w:gridCol w:w="1131"/>
        <w:gridCol w:w="1234"/>
      </w:tblGrid>
      <w:tr>
        <w:trPr>
          <w:tblHeader w:val="on"/>
        </w:trPr>
        <w:tc>
          <w:tcPr/>
          <w:p>
            <w:pPr>
              <w:pStyle w:val="Compact"/>
            </w:pPr>
            <w:r>
              <w:t xml:space="preserve">Audit Dimension (Wieringa, 2020)</w:t>
            </w:r>
          </w:p>
        </w:tc>
        <w:tc>
          <w:tcPr/>
          <w:p>
            <w:pPr>
              <w:pStyle w:val="Compact"/>
            </w:pPr>
            <w:r>
              <w:t xml:space="preserve">Zhipu Z.AI</w:t>
            </w:r>
          </w:p>
        </w:tc>
        <w:tc>
          <w:tcPr/>
          <w:p>
            <w:pPr>
              <w:pStyle w:val="Compact"/>
            </w:pPr>
            <w:r>
              <w:t xml:space="preserve">Coze</w:t>
            </w:r>
          </w:p>
        </w:tc>
        <w:tc>
          <w:tcPr/>
          <w:p>
            <w:pPr>
              <w:pStyle w:val="Compact"/>
            </w:pPr>
            <w:r>
              <w:t xml:space="preserve">WorkBuddy</w:t>
            </w:r>
          </w:p>
        </w:tc>
        <w:tc>
          <w:tcPr/>
          <w:p>
            <w:pPr>
              <w:pStyle w:val="Compact"/>
            </w:pPr>
            <w:r>
              <w:t xml:space="preserve">Claude Skills*</w:t>
            </w:r>
          </w:p>
        </w:tc>
        <w:tc>
          <w:tcPr/>
          <w:p>
            <w:pPr>
              <w:pStyle w:val="Compact"/>
            </w:pPr>
            <w:r>
              <w:t xml:space="preserve">OpenClaw**</w:t>
            </w:r>
          </w:p>
        </w:tc>
        <w:tc>
          <w:tcPr/>
          <w:p>
            <w:pPr>
              <w:pStyle w:val="Compact"/>
            </w:pPr>
            <w:r>
              <w:t xml:space="preserve">Governance Gap Assessment</w:t>
            </w:r>
          </w:p>
        </w:tc>
      </w:tr>
      <w:tr>
        <w:tc>
          <w:tcPr/>
          <w:p>
            <w:pPr>
              <w:pStyle w:val="Compact"/>
            </w:pPr>
            <w:r>
              <w:t xml:space="preserve">Transparency absence rate</w:t>
            </w:r>
          </w:p>
        </w:tc>
        <w:tc>
          <w:tcPr/>
          <w:p>
            <w:pPr>
              <w:pStyle w:val="Compact"/>
            </w:pPr>
            <w:r>
              <w:t xml:space="preserve">100%</w:t>
            </w:r>
          </w:p>
        </w:tc>
        <w:tc>
          <w:tcPr/>
          <w:p>
            <w:pPr>
              <w:pStyle w:val="Compact"/>
            </w:pPr>
            <w:r>
              <w:t xml:space="preserve">100%</w:t>
            </w:r>
          </w:p>
        </w:tc>
        <w:tc>
          <w:tcPr/>
          <w:p>
            <w:pPr>
              <w:pStyle w:val="Compact"/>
            </w:pPr>
            <w:r>
              <w:t xml:space="preserve">98.4%</w:t>
            </w:r>
          </w:p>
        </w:tc>
        <w:tc>
          <w:tcPr/>
          <w:p>
            <w:pPr>
              <w:pStyle w:val="Compact"/>
            </w:pPr>
            <w:r>
              <w:t xml:space="preserve">~100%</w:t>
            </w:r>
          </w:p>
        </w:tc>
        <w:tc>
          <w:tcPr/>
          <w:p>
            <w:pPr>
              <w:pStyle w:val="Compact"/>
            </w:pPr>
            <w:r>
              <w:t xml:space="preserve">~100%</w:t>
            </w:r>
          </w:p>
        </w:tc>
        <w:tc>
          <w:tcPr/>
          <w:p>
            <w:pPr>
              <w:pStyle w:val="Compact"/>
            </w:pPr>
            <w:r>
              <w:t xml:space="preserve">Skill descriptions contain no permission scope or impact assessment</w:t>
            </w:r>
          </w:p>
        </w:tc>
      </w:tr>
      <w:tr>
        <w:tc>
          <w:tcPr/>
          <w:p>
            <w:pPr>
              <w:pStyle w:val="Compact"/>
            </w:pPr>
            <w:r>
              <w:t xml:space="preserve">Explainability absence rate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Skill runtime behavioural pathways are not comprehensible</w:t>
            </w:r>
          </w:p>
        </w:tc>
      </w:tr>
      <w:tr>
        <w:tc>
          <w:tcPr/>
          <w:p>
            <w:pPr>
              <w:pStyle w:val="Compact"/>
            </w:pPr>
            <w:r>
              <w:t xml:space="preserve">Contestability absence rate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No authorisation confirmation; no revocation mechanism</w:t>
            </w:r>
          </w:p>
        </w:tc>
      </w:tr>
      <w:tr>
        <w:tc>
          <w:tcPr/>
          <w:p>
            <w:pPr>
              <w:pStyle w:val="Compact"/>
            </w:pPr>
            <w:r>
              <w:t xml:space="preserve">Auditability absence rate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No audit logs; no tracing interface</w:t>
            </w:r>
          </w:p>
        </w:tc>
      </w:tr>
      <w:tr>
        <w:tc>
          <w:tcPr/>
          <w:p>
            <w:pPr>
              <w:pStyle w:val="Compact"/>
            </w:pPr>
            <w:r>
              <w:t xml:space="preserve">Proportion of governance-oriented skills</w:t>
            </w:r>
          </w:p>
        </w:tc>
        <w:tc>
          <w:tcPr/>
          <w:p>
            <w:pPr>
              <w:pStyle w:val="Compact"/>
            </w:pPr>
            <w:r>
              <w:t xml:space="preserve">1.8%</w:t>
            </w:r>
          </w:p>
        </w:tc>
        <w:tc>
          <w:tcPr/>
          <w:p>
            <w:pPr>
              <w:pStyle w:val="Compact"/>
            </w:pPr>
            <w:r>
              <w:t xml:space="preserve">0%</w:t>
            </w:r>
          </w:p>
        </w:tc>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Governance infrastructure is extremely scarce</w:t>
            </w:r>
          </w:p>
        </w:tc>
      </w:tr>
    </w:tbl>
    <w:p>
      <w:pPr>
        <w:pStyle w:val="BodyText"/>
      </w:pPr>
      <w:r>
        <w:t xml:space="preserve">*Claude Skills ecosystem (claudeskills.info 140+ skills, SkillsLLM 1,600+ skills): verification audit based on publicly available skill descriptions and specification structure analysis.</w:t>
      </w:r>
      <w:r>
        <w:t xml:space="preserve"> </w:t>
      </w:r>
      <w:r>
        <w:t xml:space="preserve">**OpenClaw/ClawHub (500+ skills): verification audit based on specification structure analysis and corroborating security reports (HKCERT, 2026).</w:t>
      </w:r>
    </w:p>
    <w:p>
      <w:pPr>
        <w:pStyle w:val="BodyText"/>
      </w:pPr>
      <w:r>
        <w:rPr>
          <w:b/>
          <w:bCs/>
        </w:rPr>
        <w:t xml:space="preserve">Table 3: Classification of High-Risk Operations (WorkBuddy)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Operation Category</w:t>
            </w:r>
          </w:p>
        </w:tc>
        <w:tc>
          <w:tcPr/>
          <w:p>
            <w:pPr>
              <w:pStyle w:val="Compact"/>
            </w:pPr>
            <w:r>
              <w:t xml:space="preserve">Number of Skills</w:t>
            </w:r>
          </w:p>
        </w:tc>
        <w:tc>
          <w:tcPr/>
          <w:p>
            <w:pPr>
              <w:pStyle w:val="Compact"/>
            </w:pPr>
            <w:r>
              <w:t xml:space="preserve">Specific Risks</w:t>
            </w:r>
          </w:p>
        </w:tc>
      </w:tr>
      <w:tr>
        <w:tc>
          <w:tcPr/>
          <w:p>
            <w:pPr>
              <w:pStyle w:val="Compact"/>
            </w:pPr>
            <w:r>
              <w:t xml:space="preserve">External communication</w:t>
            </w:r>
          </w:p>
        </w:tc>
        <w:tc>
          <w:tcPr/>
          <w:p>
            <w:pPr>
              <w:pStyle w:val="Compact"/>
            </w:pPr>
            <w:r>
              <w:t xml:space="preserve">7</w:t>
            </w:r>
          </w:p>
        </w:tc>
        <w:tc>
          <w:tcPr/>
          <w:p>
            <w:pPr>
              <w:pStyle w:val="Compact"/>
            </w:pPr>
            <w:r>
              <w:t xml:space="preserve">Email (3) + Messaging (2) + Social media (1) + Twitter (1)</w:t>
            </w:r>
          </w:p>
        </w:tc>
      </w:tr>
      <w:tr>
        <w:tc>
          <w:tcPr/>
          <w:p>
            <w:pPr>
              <w:pStyle w:val="Compact"/>
            </w:pPr>
            <w:r>
              <w:t xml:space="preserve">Code repositories</w:t>
            </w:r>
          </w:p>
        </w:tc>
        <w:tc>
          <w:tcPr/>
          <w:p>
            <w:pPr>
              <w:pStyle w:val="Compact"/>
            </w:pPr>
            <w:r>
              <w:t xml:space="preserve">4</w:t>
            </w:r>
          </w:p>
        </w:tc>
        <w:tc>
          <w:tcPr/>
          <w:p>
            <w:pPr>
              <w:pStyle w:val="Compact"/>
            </w:pPr>
            <w:r>
              <w:t xml:space="preserve">GitHub (2) + CNB (1) + Tencent CodeBee (1)</w:t>
            </w:r>
          </w:p>
        </w:tc>
      </w:tr>
      <w:tr>
        <w:tc>
          <w:tcPr/>
          <w:p>
            <w:pPr>
              <w:pStyle w:val="Compact"/>
            </w:pPr>
            <w:r>
              <w:t xml:space="preserve">Browser automation</w:t>
            </w:r>
          </w:p>
        </w:tc>
        <w:tc>
          <w:tcPr/>
          <w:p>
            <w:pPr>
              <w:pStyle w:val="Compact"/>
            </w:pPr>
            <w:r>
              <w:t xml:space="preserve">2</w:t>
            </w:r>
          </w:p>
        </w:tc>
        <w:tc>
          <w:tcPr/>
          <w:p>
            <w:pPr>
              <w:pStyle w:val="Compact"/>
            </w:pPr>
            <w:r>
              <w:t xml:space="preserve">Browser Automation + playwright-cli</w:t>
            </w:r>
          </w:p>
        </w:tc>
      </w:tr>
      <w:tr>
        <w:tc>
          <w:tcPr/>
          <w:p>
            <w:pPr>
              <w:pStyle w:val="Compact"/>
            </w:pPr>
            <w:r>
              <w:t xml:space="preserve">Design file access</w:t>
            </w:r>
          </w:p>
        </w:tc>
        <w:tc>
          <w:tcPr/>
          <w:p>
            <w:pPr>
              <w:pStyle w:val="Compact"/>
            </w:pPr>
            <w:r>
              <w:t xml:space="preserve">1</w:t>
            </w:r>
          </w:p>
        </w:tc>
        <w:tc>
          <w:tcPr/>
          <w:p>
            <w:pPr>
              <w:pStyle w:val="Compact"/>
            </w:pPr>
            <w:r>
              <w:t xml:space="preserve">Figma connector</w:t>
            </w:r>
          </w:p>
        </w:tc>
      </w:tr>
      <w:tr>
        <w:tc>
          <w:tcPr/>
          <w:p>
            <w:pPr>
              <w:pStyle w:val="Compact"/>
            </w:pPr>
            <w:r>
              <w:t xml:space="preserve">Workspace access</w:t>
            </w:r>
          </w:p>
        </w:tc>
        <w:tc>
          <w:tcPr/>
          <w:p>
            <w:pPr>
              <w:pStyle w:val="Compact"/>
            </w:pPr>
            <w:r>
              <w:t xml:space="preserve">1</w:t>
            </w:r>
          </w:p>
        </w:tc>
        <w:tc>
          <w:tcPr/>
          <w:p>
            <w:pPr>
              <w:pStyle w:val="Compact"/>
            </w:pPr>
            <w:r>
              <w:t xml:space="preserve">Google Workspace full suite</w:t>
            </w:r>
          </w:p>
        </w:tc>
      </w:tr>
      <w:tr>
        <w:tc>
          <w:tcPr/>
          <w:p>
            <w:pPr>
              <w:pStyle w:val="Compact"/>
            </w:pPr>
            <w:r>
              <w:rPr>
                <w:b/>
                <w:bCs/>
              </w:rPr>
              <w:t xml:space="preserve">Total</w:t>
            </w:r>
          </w:p>
        </w:tc>
        <w:tc>
          <w:tcPr/>
          <w:p>
            <w:pPr>
              <w:pStyle w:val="Compact"/>
            </w:pPr>
            <w:r>
              <w:rPr>
                <w:b/>
                <w:bCs/>
              </w:rPr>
              <w:t xml:space="preserve">15</w:t>
            </w:r>
          </w:p>
        </w:tc>
        <w:tc>
          <w:tcPr/>
          <w:p>
            <w:pPr>
              <w:pStyle w:val="Compact"/>
            </w:pPr>
            <w:r>
              <w:rPr>
                <w:b/>
                <w:bCs/>
              </w:rPr>
              <w:t xml:space="preserve">24.2% of total skills</w:t>
            </w:r>
          </w:p>
        </w:tc>
      </w:tr>
    </w:tbl>
    <w:p>
      <w:pPr>
        <w:pStyle w:val="BodyText"/>
      </w:pPr>
      <w:r>
        <w:rPr>
          <w:b/>
          <w:bCs/>
        </w:rPr>
        <w:t xml:space="preserve">Table 4: Audit Conclusions and Governance Gap Quantification (Based on Wieringa 2020 Four-Dimensional Framework)</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t xml:space="preserve">Governance Dimension (Wieringa, 2020)</w:t>
            </w:r>
          </w:p>
        </w:tc>
        <w:tc>
          <w:tcPr/>
          <w:p>
            <w:pPr>
              <w:pStyle w:val="Compact"/>
            </w:pPr>
            <w:r>
              <w:t xml:space="preserve">Expected Functionality</w:t>
            </w:r>
          </w:p>
        </w:tc>
        <w:tc>
          <w:tcPr/>
          <w:p>
            <w:pPr>
              <w:pStyle w:val="Compact"/>
            </w:pPr>
            <w:r>
              <w:t xml:space="preserve">Actual Status</w:t>
            </w:r>
          </w:p>
        </w:tc>
        <w:tc>
          <w:tcPr/>
          <w:p>
            <w:pPr>
              <w:pStyle w:val="Compact"/>
            </w:pPr>
            <w:r>
              <w:t xml:space="preserve">Gap Severity</w:t>
            </w:r>
          </w:p>
        </w:tc>
      </w:tr>
      <w:tr>
        <w:tc>
          <w:tcPr/>
          <w:p>
            <w:pPr>
              <w:pStyle w:val="Compact"/>
            </w:pPr>
            <w:r>
              <w:t xml:space="preserve">Transparency</w:t>
            </w:r>
          </w:p>
        </w:tc>
        <w:tc>
          <w:tcPr/>
          <w:p>
            <w:pPr>
              <w:pStyle w:val="Compact"/>
            </w:pPr>
            <w:r>
              <w:t xml:space="preserve">Permission declarations, impact scope statements, usage restriction descriptions</w:t>
            </w:r>
          </w:p>
        </w:tc>
        <w:tc>
          <w:tcPr/>
          <w:p>
            <w:pPr>
              <w:pStyle w:val="Compact"/>
            </w:pPr>
            <w:r>
              <w:t xml:space="preserve">Entirely absent (except for 1 governance skill)</w:t>
            </w:r>
          </w:p>
        </w:tc>
        <w:tc>
          <w:tcPr/>
          <w:p>
            <w:pPr>
              <w:pStyle w:val="Compact"/>
            </w:pPr>
            <w:r>
              <w:t xml:space="preserve">🔴 Severe</w:t>
            </w:r>
          </w:p>
        </w:tc>
      </w:tr>
      <w:tr>
        <w:tc>
          <w:tcPr/>
          <w:p>
            <w:pPr>
              <w:pStyle w:val="Compact"/>
            </w:pPr>
            <w:r>
              <w:t xml:space="preserve">Explainability</w:t>
            </w:r>
          </w:p>
        </w:tc>
        <w:tc>
          <w:tcPr/>
          <w:p>
            <w:pPr>
              <w:pStyle w:val="Compact"/>
            </w:pPr>
            <w:r>
              <w:t xml:space="preserve">Behavioural pathway descriptions, execution status feedback</w:t>
            </w:r>
          </w:p>
        </w:tc>
        <w:tc>
          <w:tcPr/>
          <w:p>
            <w:pPr>
              <w:pStyle w:val="Compact"/>
            </w:pPr>
            <w:r>
              <w:t xml:space="preserve">Entirely absent</w:t>
            </w:r>
          </w:p>
        </w:tc>
        <w:tc>
          <w:tcPr/>
          <w:p>
            <w:pPr>
              <w:pStyle w:val="Compact"/>
            </w:pPr>
            <w:r>
              <w:t xml:space="preserve">🔴 Severe</w:t>
            </w:r>
          </w:p>
        </w:tc>
      </w:tr>
      <w:tr>
        <w:tc>
          <w:tcPr/>
          <w:p>
            <w:pPr>
              <w:pStyle w:val="Compact"/>
            </w:pPr>
            <w:r>
              <w:t xml:space="preserve">Contestability</w:t>
            </w:r>
          </w:p>
        </w:tc>
        <w:tc>
          <w:tcPr/>
          <w:p>
            <w:pPr>
              <w:pStyle w:val="Compact"/>
            </w:pPr>
            <w:r>
              <w:t xml:space="preserve">Authorisation confirmation, revocation mechanisms, post-hoc tracing</w:t>
            </w:r>
          </w:p>
        </w:tc>
        <w:tc>
          <w:tcPr/>
          <w:p>
            <w:pPr>
              <w:pStyle w:val="Compact"/>
            </w:pPr>
            <w:r>
              <w:t xml:space="preserve">Entirely absent (100% silent execution)</w:t>
            </w:r>
          </w:p>
        </w:tc>
        <w:tc>
          <w:tcPr/>
          <w:p>
            <w:pPr>
              <w:pStyle w:val="Compact"/>
            </w:pPr>
            <w:r>
              <w:t xml:space="preserve">🔴 Severe</w:t>
            </w:r>
          </w:p>
        </w:tc>
      </w:tr>
      <w:tr>
        <w:tc>
          <w:tcPr/>
          <w:p>
            <w:pPr>
              <w:pStyle w:val="Compact"/>
            </w:pPr>
            <w:r>
              <w:t xml:space="preserve">Auditability</w:t>
            </w:r>
          </w:p>
        </w:tc>
        <w:tc>
          <w:tcPr/>
          <w:p>
            <w:pPr>
              <w:pStyle w:val="Compact"/>
            </w:pPr>
            <w:r>
              <w:t xml:space="preserve">Audit logs, behaviour tracking, external audit interfaces</w:t>
            </w:r>
          </w:p>
        </w:tc>
        <w:tc>
          <w:tcPr/>
          <w:p>
            <w:pPr>
              <w:pStyle w:val="Compact"/>
            </w:pPr>
            <w:r>
              <w:t xml:space="preserve">Entirely absent</w:t>
            </w:r>
          </w:p>
        </w:tc>
        <w:tc>
          <w:tcPr/>
          <w:p>
            <w:pPr>
              <w:pStyle w:val="Compact"/>
            </w:pPr>
            <w:r>
              <w:t xml:space="preserve">🔴 Severe</w:t>
            </w:r>
          </w:p>
        </w:tc>
      </w:tr>
      <w:tr>
        <w:tc>
          <w:tcPr/>
          <w:p>
            <w:pPr>
              <w:pStyle w:val="Compact"/>
            </w:pPr>
            <w:r>
              <w:t xml:space="preserve">Governance infrastructure</w:t>
            </w:r>
          </w:p>
        </w:tc>
        <w:tc>
          <w:tcPr/>
          <w:p>
            <w:pPr>
              <w:pStyle w:val="Compact"/>
            </w:pPr>
            <w:r>
              <w:t xml:space="preserve">Audit tools, monitoring tools, intervention tools</w:t>
            </w:r>
          </w:p>
        </w:tc>
        <w:tc>
          <w:tcPr/>
          <w:p>
            <w:pPr>
              <w:pStyle w:val="Compact"/>
            </w:pPr>
            <w:r>
              <w:t xml:space="preserve">Only 2 incomplete governance skills (across 5 platforms combined)</w:t>
            </w:r>
          </w:p>
        </w:tc>
        <w:tc>
          <w:tcPr/>
          <w:p>
            <w:pPr>
              <w:pStyle w:val="Compact"/>
            </w:pPr>
            <w:r>
              <w:t xml:space="preserve">🔴 Severe</w:t>
            </w:r>
          </w:p>
        </w:tc>
      </w:tr>
    </w:tbl>
    <w:p>
      <w:pPr>
        <w:pStyle w:val="BodyText"/>
      </w:pPr>
      <w:r>
        <w:t xml:space="preserve">The cross-platform consistency of the above audit data merits particular emphasis: the five platforms exhibit significant differences in technological architecture (based on different underlying large language models), business models (AI-native enterprise vs. internet giant’s developer platform vs. internet giant’s end-user product vs. international AI enterprise skill ecosystem vs. open-source community platform), and user communities (enterprise users vs. creators/developers vs. workplace professionals vs. international developers vs. open-source community developers), yet demonstrate near-perfect convergence in their audit results against Wieringa’s (2020) four-dimensional accountability framework—the absence rates across all four dimensions (transparency, explainability, contestability, and auditability) approach 100% on all platforms. This</w:t>
      </w:r>
      <w:r>
        <w:t xml:space="preserve"> </w:t>
      </w:r>
      <w:r>
        <w:t xml:space="preserve">“convergent results under divergent contexts”</w:t>
      </w:r>
      <w:r>
        <w:t xml:space="preserve"> </w:t>
      </w:r>
      <w:r>
        <w:t xml:space="preserve">provides compelling empirical support for the central proposition that the responsibility vacuum is a structural problem rather than an incidental oversight.</w:t>
      </w:r>
    </w:p>
    <w:p>
      <w:pPr>
        <w:pStyle w:val="BodyText"/>
      </w:pPr>
      <w:r>
        <w:rPr>
          <w:b/>
          <w:bCs/>
        </w:rPr>
        <w:t xml:space="preserve">Table 5: Cross-Platform Audit Panorama (Wieringa 2020 Four-Dimensional Framework)</w:t>
      </w:r>
    </w:p>
    <w:tbl>
      <w:tblPr>
        <w:tblStyle w:val="Table"/>
        <w:tblW w:type="pct" w:w="5000"/>
        <w:tblLayout w:type="fixed"/>
        <w:tblLook w:firstRow="1" w:lastRow="0" w:firstColumn="0" w:lastColumn="0" w:noHBand="0" w:noVBand="0" w:val="0020"/>
      </w:tblPr>
      <w:tblGrid>
        <w:gridCol w:w="1018"/>
        <w:gridCol w:w="1018"/>
        <w:gridCol w:w="1018"/>
        <w:gridCol w:w="792"/>
        <w:gridCol w:w="1018"/>
        <w:gridCol w:w="1018"/>
        <w:gridCol w:w="1018"/>
        <w:gridCol w:w="1018"/>
      </w:tblGrid>
      <w:tr>
        <w:trPr>
          <w:tblHeader w:val="on"/>
        </w:trPr>
        <w:tc>
          <w:tcPr/>
          <w:p>
            <w:pPr>
              <w:pStyle w:val="Compact"/>
            </w:pPr>
            <w:r>
              <w:t xml:space="preserve">Platform</w:t>
            </w:r>
          </w:p>
        </w:tc>
        <w:tc>
          <w:tcPr/>
          <w:p>
            <w:pPr>
              <w:pStyle w:val="Compact"/>
            </w:pPr>
            <w:r>
              <w:t xml:space="preserve">Skill Scale</w:t>
            </w:r>
          </w:p>
        </w:tc>
        <w:tc>
          <w:tcPr/>
          <w:p>
            <w:pPr>
              <w:pStyle w:val="Compact"/>
            </w:pPr>
            <w:r>
              <w:t xml:space="preserve">Specification Basis</w:t>
            </w:r>
          </w:p>
        </w:tc>
        <w:tc>
          <w:tcPr/>
          <w:p>
            <w:pPr>
              <w:pStyle w:val="Compact"/>
            </w:pPr>
            <w:r>
              <w:t xml:space="preserve">Transparency</w:t>
            </w:r>
          </w:p>
        </w:tc>
        <w:tc>
          <w:tcPr/>
          <w:p>
            <w:pPr>
              <w:pStyle w:val="Compact"/>
            </w:pPr>
            <w:r>
              <w:t xml:space="preserve">Explainability</w:t>
            </w:r>
          </w:p>
        </w:tc>
        <w:tc>
          <w:tcPr/>
          <w:p>
            <w:pPr>
              <w:pStyle w:val="Compact"/>
            </w:pPr>
            <w:r>
              <w:t xml:space="preserve">Contestability</w:t>
            </w:r>
          </w:p>
        </w:tc>
        <w:tc>
          <w:tcPr/>
          <w:p>
            <w:pPr>
              <w:pStyle w:val="Compact"/>
            </w:pPr>
            <w:r>
              <w:t xml:space="preserve">Auditability</w:t>
            </w:r>
          </w:p>
        </w:tc>
        <w:tc>
          <w:tcPr/>
          <w:p>
            <w:pPr>
              <w:pStyle w:val="Compact"/>
            </w:pPr>
            <w:r>
              <w:t xml:space="preserve">Security Review</w:t>
            </w:r>
          </w:p>
        </w:tc>
      </w:tr>
      <w:tr>
        <w:tc>
          <w:tcPr/>
          <w:p>
            <w:pPr>
              <w:pStyle w:val="Compact"/>
            </w:pPr>
            <w:r>
              <w:t xml:space="preserve">Zhipu Z.AI</w:t>
            </w:r>
          </w:p>
        </w:tc>
        <w:tc>
          <w:tcPr/>
          <w:p>
            <w:pPr>
              <w:pStyle w:val="Compact"/>
            </w:pPr>
            <w:r>
              <w:t xml:space="preserve">55</w:t>
            </w:r>
          </w:p>
        </w:tc>
        <w:tc>
          <w:tcPr/>
          <w:p>
            <w:pPr>
              <w:pStyle w:val="Compact"/>
            </w:pPr>
            <w:r>
              <w:t xml:space="preserve">AgentSkills.io</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None</w:t>
            </w:r>
          </w:p>
        </w:tc>
      </w:tr>
      <w:tr>
        <w:tc>
          <w:tcPr/>
          <w:p>
            <w:pPr>
              <w:pStyle w:val="Compact"/>
            </w:pPr>
            <w:r>
              <w:t xml:space="preserve">Coze</w:t>
            </w:r>
          </w:p>
        </w:tc>
        <w:tc>
          <w:tcPr/>
          <w:p>
            <w:pPr>
              <w:pStyle w:val="Compact"/>
            </w:pPr>
            <w:r>
              <w:t xml:space="preserve">39</w:t>
            </w:r>
          </w:p>
        </w:tc>
        <w:tc>
          <w:tcPr/>
          <w:p>
            <w:pPr>
              <w:pStyle w:val="Compact"/>
            </w:pPr>
            <w:r>
              <w:t xml:space="preserve">AgentSkills.io</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Basic</w:t>
            </w:r>
          </w:p>
        </w:tc>
      </w:tr>
      <w:tr>
        <w:tc>
          <w:tcPr/>
          <w:p>
            <w:pPr>
              <w:pStyle w:val="Compact"/>
            </w:pPr>
            <w:r>
              <w:t xml:space="preserve">WorkBuddy</w:t>
            </w:r>
          </w:p>
        </w:tc>
        <w:tc>
          <w:tcPr/>
          <w:p>
            <w:pPr>
              <w:pStyle w:val="Compact"/>
            </w:pPr>
            <w:r>
              <w:t xml:space="preserve">62</w:t>
            </w:r>
          </w:p>
        </w:tc>
        <w:tc>
          <w:tcPr/>
          <w:p>
            <w:pPr>
              <w:pStyle w:val="Compact"/>
            </w:pPr>
            <w:r>
              <w:t xml:space="preserve">AgentSkills.io/OpenClaw</w:t>
            </w:r>
          </w:p>
        </w:tc>
        <w:tc>
          <w:tcPr/>
          <w:p>
            <w:pPr>
              <w:pStyle w:val="Compact"/>
            </w:pPr>
            <w:r>
              <w:t xml:space="preserve">❌ 1.6%</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None</w:t>
            </w:r>
          </w:p>
        </w:tc>
      </w:tr>
      <w:tr>
        <w:tc>
          <w:tcPr/>
          <w:p>
            <w:pPr>
              <w:pStyle w:val="Compact"/>
            </w:pPr>
            <w:r>
              <w:t xml:space="preserve">Claude Skills</w:t>
            </w:r>
          </w:p>
        </w:tc>
        <w:tc>
          <w:tcPr/>
          <w:p>
            <w:pPr>
              <w:pStyle w:val="Compact"/>
            </w:pPr>
            <w:r>
              <w:t xml:space="preserve">2000+</w:t>
            </w:r>
          </w:p>
        </w:tc>
        <w:tc>
          <w:tcPr/>
          <w:p>
            <w:pPr>
              <w:pStyle w:val="Compact"/>
            </w:pPr>
            <w:r>
              <w:t xml:space="preserve">AgentSkills.io</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SkillsLLM claims vetted</w:t>
            </w:r>
          </w:p>
        </w:tc>
      </w:tr>
      <w:tr>
        <w:tc>
          <w:tcPr/>
          <w:p>
            <w:pPr>
              <w:pStyle w:val="Compact"/>
            </w:pPr>
            <w:r>
              <w:t xml:space="preserve">OpenClaw/ClawHub</w:t>
            </w:r>
          </w:p>
        </w:tc>
        <w:tc>
          <w:tcPr/>
          <w:p>
            <w:pPr>
              <w:pStyle w:val="Compact"/>
            </w:pPr>
            <w:r>
              <w:t xml:space="preserve">500+</w:t>
            </w:r>
          </w:p>
        </w:tc>
        <w:tc>
          <w:tcPr/>
          <w:p>
            <w:pPr>
              <w:pStyle w:val="Compact"/>
            </w:pPr>
            <w:r>
              <w:t xml:space="preserve">AgentSkills.io</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~0%</w:t>
            </w:r>
          </w:p>
        </w:tc>
        <w:tc>
          <w:tcPr/>
          <w:p>
            <w:pPr>
              <w:pStyle w:val="Compact"/>
            </w:pPr>
            <w:r>
              <w:t xml:space="preserve">⚠️ VirusTotal scanning</w:t>
            </w:r>
          </w:p>
        </w:tc>
      </w:tr>
      <w:tr>
        <w:tc>
          <w:tcPr/>
          <w:p>
            <w:pPr>
              <w:pStyle w:val="Compact"/>
            </w:pPr>
            <w:r>
              <w:rPr>
                <w:b/>
                <w:bCs/>
              </w:rPr>
              <w:t xml:space="preserve">Total</w:t>
            </w:r>
          </w:p>
        </w:tc>
        <w:tc>
          <w:tcPr/>
          <w:p>
            <w:pPr>
              <w:pStyle w:val="Compact"/>
            </w:pPr>
            <w:r>
              <w:rPr>
                <w:b/>
                <w:bCs/>
              </w:rPr>
              <w:t xml:space="preserve">~2600+</w:t>
            </w:r>
          </w:p>
        </w:tc>
        <w:tc>
          <w:tcPr/>
          <w:p>
            <w:pPr>
              <w:pStyle w:val="Compact"/>
            </w:pPr>
            <w:r>
              <w:t xml:space="preserve">—</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~0%</w:t>
            </w:r>
          </w:p>
        </w:tc>
        <w:tc>
          <w:tcPr/>
          <w:p>
            <w:pPr>
              <w:pStyle w:val="Compact"/>
            </w:pPr>
            <w:r>
              <w:rPr>
                <w:b/>
                <w:bCs/>
              </w:rPr>
              <w:t xml:space="preserve">~0%</w:t>
            </w:r>
          </w:p>
        </w:tc>
        <w:tc>
          <w:tcPr/>
          <w:p>
            <w:pPr>
              <w:pStyle w:val="Compact"/>
            </w:pPr>
            <w:r>
              <w:t xml:space="preserve">—</w:t>
            </w:r>
          </w:p>
        </w:tc>
      </w:tr>
    </w:tbl>
    <w:p>
      <w:pPr>
        <w:pStyle w:val="BodyText"/>
      </w:pPr>
      <w:r>
        <w:t xml:space="preserve">*SkillsLLM within the Claude Skills ecosystem claims that its 1600+ skills have passed a</w:t>
      </w:r>
      <w:r>
        <w:t xml:space="preserve"> </w:t>
      </w:r>
      <w:r>
        <w:t xml:space="preserve">“security-vetted”</w:t>
      </w:r>
      <w:r>
        <w:t xml:space="preserve"> </w:t>
      </w:r>
      <w:r>
        <w:t xml:space="preserve">review, but this review covers only basic security scanning and does not address any governance dimension within Wieringa’s (2020) four-dimensional framework.</w:t>
      </w:r>
      <w:r>
        <w:t xml:space="preserve"> </w:t>
      </w:r>
      <w:r>
        <w:t xml:space="preserve">**OpenClaw has partnered with VirusTotal to perform malware scanning on ClawHub skills, but the official security documentation explicitly warns that</w:t>
      </w:r>
      <w:r>
        <w:t xml:space="preserve"> </w:t>
      </w:r>
      <w:r>
        <w:t xml:space="preserve">“this scanning mechanism is not infallible, and some deeply hidden prompt injection payloads may still evade detection”</w:t>
      </w:r>
      <w:r>
        <w:t xml:space="preserve"> </w:t>
      </w:r>
      <w:r>
        <w:t xml:space="preserve">(HKCERT, 2026). VirusTotal scanning covers only the basic security aspect of auditability, whilst transparency, explainability, and contestability remain entirely absent.</w:t>
      </w:r>
    </w:p>
    <w:p>
      <w:pPr>
        <w:pStyle w:val="BodyText"/>
      </w:pPr>
      <w:r>
        <w:rPr>
          <w:b/>
          <w:bCs/>
        </w:rPr>
        <w:t xml:space="preserve">Table 6: Binary Analysis of the AgentSkills.io Specification Architecture</w:t>
      </w:r>
    </w:p>
    <w:tbl>
      <w:tblPr>
        <w:tblStyle w:val="Table"/>
        <w:tblW w:type="pct" w:w="5000"/>
        <w:tblLayout w:type="fixed"/>
        <w:tblLook w:firstRow="1" w:lastRow="0" w:firstColumn="0" w:lastColumn="0" w:noHBand="0" w:noVBand="0" w:val="0020"/>
      </w:tblPr>
      <w:tblGrid>
        <w:gridCol w:w="1980"/>
        <w:gridCol w:w="2420"/>
        <w:gridCol w:w="3520"/>
      </w:tblGrid>
      <w:tr>
        <w:trPr>
          <w:tblHeader w:val="on"/>
        </w:trPr>
        <w:tc>
          <w:tcPr/>
          <w:p>
            <w:pPr>
              <w:pStyle w:val="Compact"/>
            </w:pPr>
            <w:r>
              <w:t xml:space="preserve">Specification Layer</w:t>
            </w:r>
          </w:p>
        </w:tc>
        <w:tc>
          <w:tcPr/>
          <w:p>
            <w:pPr>
              <w:pStyle w:val="Compact"/>
            </w:pPr>
            <w:r>
              <w:t xml:space="preserve">Defined Fields</w:t>
            </w:r>
          </w:p>
        </w:tc>
        <w:tc>
          <w:tcPr/>
          <w:p>
            <w:pPr>
              <w:pStyle w:val="Compact"/>
            </w:pPr>
            <w:r>
              <w:t xml:space="preserve">Undefined (Governance Void, Mapped to Wieringa 2020 Four Dimensions)</w:t>
            </w:r>
          </w:p>
        </w:tc>
      </w:tr>
      <w:tr>
        <w:tc>
          <w:tcPr/>
          <w:p>
            <w:pPr>
              <w:pStyle w:val="Compact"/>
            </w:pPr>
            <w:r>
              <w:t xml:space="preserve">Skill identification</w:t>
            </w:r>
          </w:p>
        </w:tc>
        <w:tc>
          <w:tcPr/>
          <w:p>
            <w:pPr>
              <w:pStyle w:val="Compact"/>
            </w:pPr>
            <w:r>
              <w:t xml:space="preserve">name, version</w:t>
            </w:r>
          </w:p>
        </w:tc>
        <w:tc>
          <w:tcPr/>
          <w:p>
            <w:pPr>
              <w:pStyle w:val="Compact"/>
            </w:pPr>
            <w:r>
              <w:t xml:space="preserve">Publisher identity verification (→ Transparency)</w:t>
            </w:r>
          </w:p>
        </w:tc>
      </w:tr>
      <w:tr>
        <w:tc>
          <w:tcPr/>
          <w:p>
            <w:pPr>
              <w:pStyle w:val="Compact"/>
            </w:pPr>
            <w:r>
              <w:t xml:space="preserve">Functional description</w:t>
            </w:r>
          </w:p>
        </w:tc>
        <w:tc>
          <w:tcPr/>
          <w:p>
            <w:pPr>
              <w:pStyle w:val="Compact"/>
            </w:pPr>
            <w:r>
              <w:t xml:space="preserve">description</w:t>
            </w:r>
          </w:p>
        </w:tc>
        <w:tc>
          <w:tcPr/>
          <w:p>
            <w:pPr>
              <w:pStyle w:val="Compact"/>
            </w:pPr>
            <w:r>
              <w:t xml:space="preserve">Impact scope declaration (→ Transparency)</w:t>
            </w:r>
          </w:p>
        </w:tc>
      </w:tr>
      <w:tr>
        <w:tc>
          <w:tcPr/>
          <w:p>
            <w:pPr>
              <w:pStyle w:val="Compact"/>
            </w:pPr>
            <w:r>
              <w:t xml:space="preserve">Trigger mechanism</w:t>
            </w:r>
          </w:p>
        </w:tc>
        <w:tc>
          <w:tcPr/>
          <w:p>
            <w:pPr>
              <w:pStyle w:val="Compact"/>
            </w:pPr>
            <w:r>
              <w:t xml:space="preserve">trigger</w:t>
            </w:r>
          </w:p>
        </w:tc>
        <w:tc>
          <w:tcPr/>
          <w:p>
            <w:pPr>
              <w:pStyle w:val="Compact"/>
            </w:pPr>
            <w:r>
              <w:t xml:space="preserve">Authorisation conditions (→ Contestability)</w:t>
            </w:r>
          </w:p>
        </w:tc>
      </w:tr>
      <w:tr>
        <w:tc>
          <w:tcPr/>
          <w:p>
            <w:pPr>
              <w:pStyle w:val="Compact"/>
            </w:pPr>
            <w:r>
              <w:t xml:space="preserve">Metadata</w:t>
            </w:r>
          </w:p>
        </w:tc>
        <w:tc>
          <w:tcPr/>
          <w:p>
            <w:pPr>
              <w:pStyle w:val="Compact"/>
            </w:pPr>
            <w:r>
              <w:t xml:space="preserve">metadata (author, tags)</w:t>
            </w:r>
          </w:p>
        </w:tc>
        <w:tc>
          <w:tcPr/>
          <w:p>
            <w:pPr>
              <w:pStyle w:val="Compact"/>
            </w:pPr>
            <w:r>
              <w:t xml:space="preserve">Responsibility attribution (→ Contestability)</w:t>
            </w:r>
          </w:p>
        </w:tc>
      </w:tr>
      <w:tr>
        <w:tc>
          <w:tcPr/>
          <w:p>
            <w:pPr>
              <w:pStyle w:val="Compact"/>
            </w:pPr>
            <w:r>
              <w:t xml:space="preserve">Execution capability</w:t>
            </w:r>
          </w:p>
        </w:tc>
        <w:tc>
          <w:tcPr/>
          <w:p>
            <w:pPr>
              <w:pStyle w:val="Compact"/>
            </w:pPr>
            <w:r>
              <w:t xml:space="preserve">scripts</w:t>
            </w:r>
          </w:p>
        </w:tc>
        <w:tc>
          <w:tcPr/>
          <w:p>
            <w:pPr>
              <w:pStyle w:val="Compact"/>
            </w:pPr>
            <w:r>
              <w:t xml:space="preserve">Permission scope declaration (→ Transparency); behaviour log interface (→ Auditability, Explainability)</w:t>
            </w:r>
          </w:p>
        </w:tc>
      </w:tr>
      <w:tr>
        <w:tc>
          <w:tcPr/>
          <w:p>
            <w:pPr>
              <w:pStyle w:val="Compact"/>
            </w:pPr>
            <w:r>
              <w:t xml:space="preserve">Resource dependencies</w:t>
            </w:r>
          </w:p>
        </w:tc>
        <w:tc>
          <w:tcPr/>
          <w:p>
            <w:pPr>
              <w:pStyle w:val="Compact"/>
            </w:pPr>
            <w:r>
              <w:t xml:space="preserve">resources</w:t>
            </w:r>
          </w:p>
        </w:tc>
        <w:tc>
          <w:tcPr/>
          <w:p>
            <w:pPr>
              <w:pStyle w:val="Compact"/>
            </w:pPr>
            <w:r>
              <w:t xml:space="preserve">Dependency security declaration (→ Transparency)</w:t>
            </w:r>
          </w:p>
        </w:tc>
      </w:tr>
      <w:tr>
        <w:tc>
          <w:tcPr/>
          <w:p>
            <w:pPr>
              <w:pStyle w:val="Compact"/>
            </w:pPr>
            <w:r>
              <w:t xml:space="preserve">—</w:t>
            </w:r>
          </w:p>
        </w:tc>
        <w:tc>
          <w:tcPr/>
          <w:p>
            <w:pPr>
              <w:pStyle w:val="Compact"/>
            </w:pPr>
            <w:r>
              <w:t xml:space="preserve">—</w:t>
            </w:r>
          </w:p>
        </w:tc>
        <w:tc>
          <w:tcPr/>
          <w:p>
            <w:pPr>
              <w:pStyle w:val="Compact"/>
            </w:pPr>
            <w:r>
              <w:t xml:space="preserve">Audit interface standards (→ Auditability)</w:t>
            </w:r>
          </w:p>
        </w:tc>
      </w:tr>
      <w:tr>
        <w:tc>
          <w:tcPr/>
          <w:p>
            <w:pPr>
              <w:pStyle w:val="Compact"/>
            </w:pPr>
            <w:r>
              <w:t xml:space="preserve">—</w:t>
            </w:r>
          </w:p>
        </w:tc>
        <w:tc>
          <w:tcPr/>
          <w:p>
            <w:pPr>
              <w:pStyle w:val="Compact"/>
            </w:pPr>
            <w:r>
              <w:t xml:space="preserve">—</w:t>
            </w:r>
          </w:p>
        </w:tc>
        <w:tc>
          <w:tcPr/>
          <w:p>
            <w:pPr>
              <w:pStyle w:val="Compact"/>
            </w:pPr>
            <w:r>
              <w:t xml:space="preserve">Revocation/rollback mechanisms (→ Contestability)</w:t>
            </w:r>
          </w:p>
        </w:tc>
      </w:tr>
      <w:tr>
        <w:tc>
          <w:tcPr/>
          <w:p>
            <w:pPr>
              <w:pStyle w:val="Compact"/>
            </w:pPr>
            <w:r>
              <w:t xml:space="preserve">—</w:t>
            </w:r>
          </w:p>
        </w:tc>
        <w:tc>
          <w:tcPr/>
          <w:p>
            <w:pPr>
              <w:pStyle w:val="Compact"/>
            </w:pPr>
            <w:r>
              <w:t xml:space="preserve">—</w:t>
            </w:r>
          </w:p>
        </w:tc>
        <w:tc>
          <w:tcPr/>
          <w:p>
            <w:pPr>
              <w:pStyle w:val="Compact"/>
            </w:pPr>
            <w:r>
              <w:t xml:space="preserve">Signature and verification mechanisms (→ Auditability, Transparency)</w:t>
            </w:r>
          </w:p>
        </w:tc>
      </w:tr>
    </w:tbl>
    <w:p>
      <w:pPr>
        <w:pStyle w:val="BodyText"/>
      </w:pPr>
      <w:r>
        <w:t xml:space="preserve">The above table clearly reveals the binary structure of the AgentSkills.io specification:</w:t>
      </w:r>
      <w:r>
        <w:t xml:space="preserve"> </w:t>
      </w:r>
      <w:r>
        <w:t xml:space="preserve">“complete functional interfaces + governance interface vacuum.”</w:t>
      </w:r>
      <w:r>
        <w:t xml:space="preserve"> </w:t>
      </w:r>
      <w:r>
        <w:t xml:space="preserve">The specification addresses the question of</w:t>
      </w:r>
      <w:r>
        <w:t xml:space="preserve"> </w:t>
      </w:r>
      <w:r>
        <w:t xml:space="preserve">“how skills work”</w:t>
      </w:r>
      <w:r>
        <w:t xml:space="preserve"> </w:t>
      </w:r>
      <w:r>
        <w:t xml:space="preserve">but entirely evades the question of</w:t>
      </w:r>
      <w:r>
        <w:t xml:space="preserve"> </w:t>
      </w:r>
      <w:r>
        <w:t xml:space="preserve">“who is responsible for the consequences of skill behaviour.”</w:t>
      </w:r>
    </w:p>
    <w:bookmarkEnd w:id="42"/>
    <w:bookmarkEnd w:id="43"/>
    <w:bookmarkStart w:id="49" w:name="Xed3c09c9f401d2bf25f204a0a717c86d30fa05f"/>
    <w:p>
      <w:pPr>
        <w:pStyle w:val="Heading3"/>
      </w:pPr>
      <w:r>
        <w:t xml:space="preserve">4.3 Exploratory Artefact:</w:t>
      </w:r>
      <w:r>
        <w:t xml:space="preserve"> </w:t>
      </w:r>
      <w:r>
        <w:t xml:space="preserve">“Responsibility Shield”</w:t>
      </w:r>
      <w:r>
        <w:t xml:space="preserve"> </w:t>
      </w:r>
      <w:r>
        <w:t xml:space="preserve">Prototype Design</w:t>
      </w:r>
    </w:p>
    <w:bookmarkStart w:id="44" w:name="design-objectives"/>
    <w:p>
      <w:pPr>
        <w:pStyle w:val="Heading4"/>
      </w:pPr>
      <w:r>
        <w:t xml:space="preserve">4.3.1 Design Objectives</w:t>
      </w:r>
    </w:p>
    <w:p>
      <w:pPr>
        <w:pStyle w:val="FirstParagraph"/>
      </w:pPr>
      <w:r>
        <w:t xml:space="preserve">Based on the problems identified through field observation, this paper designs a meta-skill prototype entitled</w:t>
      </w:r>
      <w:r>
        <w:t xml:space="preserve"> </w:t>
      </w:r>
      <w:r>
        <w:t xml:space="preserve">“Responsibility Shield.”</w:t>
      </w:r>
      <w:r>
        <w:t xml:space="preserve"> </w:t>
      </w:r>
      <w:r>
        <w:t xml:space="preserve">The design objective of this prototype is to provide an attachable governance layer for any skill within the existing skill ecosystem, injecting responsibility declarations, execution auditing, and authorisation control capabilities without modifying the skill’s own functional implementation.</w:t>
      </w:r>
    </w:p>
    <w:p>
      <w:pPr>
        <w:pStyle w:val="BodyText"/>
      </w:pPr>
      <w:r>
        <w:t xml:space="preserve">The positioning as a</w:t>
      </w:r>
      <w:r>
        <w:t xml:space="preserve"> </w:t>
      </w:r>
      <w:r>
        <w:t xml:space="preserve">“meta-skill”</w:t>
      </w:r>
      <w:r>
        <w:t xml:space="preserve"> </w:t>
      </w:r>
      <w:r>
        <w:t xml:space="preserve">signifies that Responsibility Shield is not an independent functional skill, but rather a governance skill capable of</w:t>
      </w:r>
      <w:r>
        <w:t xml:space="preserve"> </w:t>
      </w:r>
      <w:r>
        <w:t xml:space="preserve">“wrapping”</w:t>
      </w:r>
      <w:r>
        <w:t xml:space="preserve"> </w:t>
      </w:r>
      <w:r>
        <w:t xml:space="preserve">other skills. The theoretical rationale for this design choice draws upon Veale’s (2018) principle of</w:t>
      </w:r>
      <w:r>
        <w:t xml:space="preserve"> </w:t>
      </w:r>
      <w:r>
        <w:t xml:space="preserve">“accountability by design”</w:t>
      </w:r>
      <w:r>
        <w:t xml:space="preserve"> </w:t>
      </w:r>
      <w:r>
        <w:t xml:space="preserve">and the findings of Wang et al. (2023) regarding how design practices can adapt to responsible AI challenges—governance mechanisms should be embedded into existing workflows in a non-intrusive manner, rather than requiring the refactoring of each individual skill.</w:t>
      </w:r>
    </w:p>
    <w:bookmarkEnd w:id="44"/>
    <w:bookmarkStart w:id="45" w:name="five-stage-governance-process"/>
    <w:p>
      <w:pPr>
        <w:pStyle w:val="Heading4"/>
      </w:pPr>
      <w:r>
        <w:t xml:space="preserve">4.3.2 Five-Stage Governance Process</w:t>
      </w:r>
    </w:p>
    <w:p>
      <w:pPr>
        <w:pStyle w:val="FirstParagraph"/>
      </w:pPr>
      <w:r>
        <w:t xml:space="preserve">The core of the Responsibility Shield prototype is a five-stage governance process:</w:t>
      </w:r>
    </w:p>
    <w:p>
      <w:pPr>
        <w:pStyle w:val="BodyText"/>
      </w:pPr>
      <w:r>
        <w:rPr>
          <w:b/>
          <w:bCs/>
        </w:rPr>
        <w:t xml:space="preserve">Stage 1: Pre-check.</w:t>
      </w:r>
      <w:r>
        <w:t xml:space="preserve"> </w:t>
      </w:r>
      <w:r>
        <w:t xml:space="preserve">Before the wrapped skill executes, Responsibility Shield first assesses the potential impact of the skill invocation request. The pre-check includes: (a) skill impact classification—categorising skills by impact level into low (e.g., information queries), medium (e.g., file operations), and high (e.g., email sending, system deployment); (b) risk assessment—generating a simplified risk evaluation based on skill category, target operation object, and invocation context; and (c) responsibility declaration extraction—extracting or generating a responsibility declaration summary from the wrapped skill’s metadata.</w:t>
      </w:r>
    </w:p>
    <w:p>
      <w:pPr>
        <w:pStyle w:val="BodyText"/>
      </w:pPr>
      <w:r>
        <w:rPr>
          <w:b/>
          <w:bCs/>
        </w:rPr>
        <w:t xml:space="preserve">Stage 2: Consent Token.</w:t>
      </w:r>
      <w:r>
        <w:t xml:space="preserve"> </w:t>
      </w:r>
      <w:r>
        <w:t xml:space="preserve">Based on the pre-check results, for medium- and high-impact operations, Responsibility Shield generates a Consent Token containing: operation description, impact scope, risk level, and recommended authorisation decision. The consent token is presented to the user (or the upstream agent in the invocation chain) in a structured format, requesting explicit authorisation. This design is inspired by Rakova et al.’s (2021) work on</w:t>
      </w:r>
      <w:r>
        <w:t xml:space="preserve"> </w:t>
      </w:r>
      <w:r>
        <w:t xml:space="preserve">“informed consent”</w:t>
      </w:r>
      <w:r>
        <w:t xml:space="preserve"> </w:t>
      </w:r>
      <w:r>
        <w:t xml:space="preserve">processes in organisational practice.</w:t>
      </w:r>
    </w:p>
    <w:p>
      <w:pPr>
        <w:pStyle w:val="BodyText"/>
      </w:pPr>
      <w:r>
        <w:rPr>
          <w:b/>
          <w:bCs/>
        </w:rPr>
        <w:t xml:space="preserve">Stage 3: Execute.</w:t>
      </w:r>
      <w:r>
        <w:t xml:space="preserve"> </w:t>
      </w:r>
      <w:r>
        <w:t xml:space="preserve">Upon receiving authorisation, Responsibility Shield invokes the wrapped skill to execute the target operation, whilst recording the execution timestamp, input parameters, and environmental context.</w:t>
      </w:r>
    </w:p>
    <w:p>
      <w:pPr>
        <w:pStyle w:val="BodyText"/>
      </w:pPr>
      <w:r>
        <w:rPr>
          <w:b/>
          <w:bCs/>
        </w:rPr>
        <w:t xml:space="preserve">Stage 4: Receipt Generation.</w:t>
      </w:r>
      <w:r>
        <w:t xml:space="preserve"> </w:t>
      </w:r>
      <w:r>
        <w:t xml:space="preserve">Following execution, Responsibility Shield generates an Execution Receipt recording: skill identifier, execution time, input parameter summary, execution result summary, and status code. The receipt generates a content fingerprint using the SHA256 hash algorithm to ensure the integrity of the receipt contents.</w:t>
      </w:r>
    </w:p>
    <w:p>
      <w:pPr>
        <w:pStyle w:val="BodyText"/>
      </w:pPr>
      <w:r>
        <w:rPr>
          <w:b/>
          <w:bCs/>
        </w:rPr>
        <w:t xml:space="preserve">Stage 5: Report.</w:t>
      </w:r>
      <w:r>
        <w:t xml:space="preserve"> </w:t>
      </w:r>
      <w:r>
        <w:t xml:space="preserve">Responsibility Shield appends the execution receipt to the Audit Chain and ensures the chain’s tamper-resistance through HMAC-SHA256 signing. The audit chain is stored in a structured database, supporting queries by skill, time range, and impact level.</w:t>
      </w:r>
    </w:p>
    <w:bookmarkEnd w:id="45"/>
    <w:bookmarkStart w:id="46" w:name="tamper-resistant-audit-chain"/>
    <w:p>
      <w:pPr>
        <w:pStyle w:val="Heading4"/>
      </w:pPr>
      <w:r>
        <w:t xml:space="preserve">4.3.3 Tamper-Resistant Audit Chain</w:t>
      </w:r>
    </w:p>
    <w:p>
      <w:pPr>
        <w:pStyle w:val="FirstParagraph"/>
      </w:pPr>
      <w:r>
        <w:t xml:space="preserve">The audit chain is the core technical component of the Responsibility Shield prototype. Its design draws upon the chained hash structure of blockchain but incorporates targeted simplifications:</w:t>
      </w:r>
    </w:p>
    <w:p>
      <w:pPr>
        <w:pStyle w:val="Compact"/>
        <w:numPr>
          <w:ilvl w:val="0"/>
          <w:numId w:val="1002"/>
        </w:numPr>
      </w:pPr>
      <w:r>
        <w:t xml:space="preserve">Each audit record contains: record ID, the hash value of the preceding record (forming the chain structure), skill identifier, SHA256 hash of the execution context, SHA256 hash of the execution result, timestamp, and HMAC-SHA256 signature;</w:t>
      </w:r>
    </w:p>
    <w:p>
      <w:pPr>
        <w:pStyle w:val="Compact"/>
        <w:numPr>
          <w:ilvl w:val="0"/>
          <w:numId w:val="1002"/>
        </w:numPr>
      </w:pPr>
      <w:r>
        <w:t xml:space="preserve">The HMAC-SHA256 signature utilises a platform-level key, ensuring that only authorised entities can create valid audit records;</w:t>
      </w:r>
    </w:p>
    <w:p>
      <w:pPr>
        <w:pStyle w:val="Compact"/>
        <w:numPr>
          <w:ilvl w:val="0"/>
          <w:numId w:val="1002"/>
        </w:numPr>
      </w:pPr>
      <w:r>
        <w:t xml:space="preserve">The chained hash structure ensures that any tampering with historical records will cause hash validation failures for all subsequent records.</w:t>
      </w:r>
    </w:p>
    <w:p>
      <w:pPr>
        <w:pStyle w:val="FirstParagraph"/>
      </w:pPr>
      <w:r>
        <w:t xml:space="preserve">This design responds to the</w:t>
      </w:r>
      <w:r>
        <w:t xml:space="preserve"> </w:t>
      </w:r>
      <w:r>
        <w:t xml:space="preserve">“audit technique trustworthiness”</w:t>
      </w:r>
      <w:r>
        <w:t xml:space="preserve"> </w:t>
      </w:r>
      <w:r>
        <w:t xml:space="preserve">concern articulated in Bandy’s (2021) systematic review of algorithmic audit methodologies—the audit mechanism itself must possess tamper-resistant capabilities in order to be trusted.</w:t>
      </w:r>
    </w:p>
    <w:bookmarkEnd w:id="46"/>
    <w:bookmarkStart w:id="47" w:name="prototype-positioning-statement"/>
    <w:p>
      <w:pPr>
        <w:pStyle w:val="Heading4"/>
      </w:pPr>
      <w:r>
        <w:t xml:space="preserve">4.3.4 Prototype Positioning Statement</w:t>
      </w:r>
    </w:p>
    <w:p>
      <w:pPr>
        <w:pStyle w:val="FirstParagraph"/>
      </w:pPr>
      <w:r>
        <w:t xml:space="preserve">This paper makes an explicit positioning statement: the Responsibility Shield prototype is an exploratory design artefact, intended to: (a) conceptually demonstrate the technical feasibility of skill governance; (b) provide a concrete intervention target for subsequent empirical research; and (c) offer an actionable reference point for theoretical discussion. This prototype has not undergone the following validations: large-scale performance testing, user acceptance evaluation, game-theoretic security analysis (i.e., whether agents might learn to circumvent the governance mechanism), and deployment testing in real production environments. These all constitute important directions for future research.</w:t>
      </w:r>
    </w:p>
    <w:bookmarkEnd w:id="47"/>
    <w:bookmarkStart w:id="48" w:name="X950771dbc8d6026521d948936e5782d61dba47a"/>
    <w:p>
      <w:pPr>
        <w:pStyle w:val="Heading4"/>
      </w:pPr>
      <w:r>
        <w:t xml:space="preserve">4.3.5 Preliminary Evaluation: Conceptual Feasibility and Internal Consistency</w:t>
      </w:r>
    </w:p>
    <w:p>
      <w:pPr>
        <w:pStyle w:val="FirstParagraph"/>
      </w:pPr>
      <w:r>
        <w:t xml:space="preserve">This section presents four preliminary evaluation activities conducted to assess the internal consistency and conceptual feasibility of the</w:t>
      </w:r>
      <w:r>
        <w:t xml:space="preserve"> </w:t>
      </w:r>
      <w:r>
        <w:t xml:space="preserve">“Responsibility Shield”</w:t>
      </w:r>
      <w:r>
        <w:t xml:space="preserve"> </w:t>
      </w:r>
      <w:r>
        <w:t xml:space="preserve">prototype and its theoretical foundations. These activities are designed to provide early-stage evidence supporting the prototype’s design rationale, drawing upon multiple evaluation perspectives suggested by the DSR evaluation literature (Hevner et al., 2004; Pries-Heje et al., 2008; Venable et al., 2016). It is important to note that these evaluations are conducted by the researcher and are inherently limited in scope; they provide supportive evidence for the prototype’s conceptual plausibility but do not constitute the independent, rigorous validation expected of mature DSR artefacts.</w:t>
      </w:r>
    </w:p>
    <w:p>
      <w:pPr>
        <w:pStyle w:val="BodyText"/>
      </w:pPr>
      <w:r>
        <w:rPr>
          <w:b/>
          <w:bCs/>
        </w:rPr>
        <w:t xml:space="preserve">(1) Normative Mapping Evaluation.</w:t>
      </w:r>
      <w:r>
        <w:t xml:space="preserve"> </w:t>
      </w:r>
      <w:r>
        <w:t xml:space="preserve">Drawing upon the evaluation principle of</w:t>
      </w:r>
      <w:r>
        <w:t xml:space="preserve"> </w:t>
      </w:r>
      <w:r>
        <w:t xml:space="preserve">“design as an artefact”</w:t>
      </w:r>
      <w:r>
        <w:t xml:space="preserve"> </w:t>
      </w:r>
      <w:r>
        <w:t xml:space="preserve">(Hevner et al., 2004), this evaluation maps the prototype’s five-stage governance process onto Wieringa’s (2020) four-dimensional algorithmic accountability framework, examining whether the prototype’s design features adequately address the governance gaps identified in the audit. It should be noted that this mapping constitutes a researcher-conducted conceptual analysis rather than an independent expert review; it assesses internal logical consistency rather than external validity. The mapping results indicate that Stage 1 (Pre-check) and Stage 2 (Consent Token) primarily address transparency and contestability needs; Stage 3 (Execute) and Stage 4 (Receipt Generation) primarily address auditability needs; and Stage 5 (Report) provides post-hoc tracing capabilities for all four dimensions through the audit chain. This mapping demonstrates the prototype’s internal consistency at the construct level—that is, a systematic correspondence exists between the prototype’s design features and the governance gaps identified in the audit. Notably, among the four mapped dimensions, coverage of the explainability dimension is the weakest: the prototype provides only pre-execution simplified descriptions through the operation description field of the consent token, without offering real-time behavioural pathway explanations during skill execution. This mapping gap directly corresponds to the fundamental tension between</w:t>
      </w:r>
      <w:r>
        <w:t xml:space="preserve"> </w:t>
      </w:r>
      <w:r>
        <w:t xml:space="preserve">“plans and situated action”</w:t>
      </w:r>
      <w:r>
        <w:t xml:space="preserve"> </w:t>
      </w:r>
      <w:r>
        <w:t xml:space="preserve">revealed by Suchman (2007)—in natural language-driven agent skills, pre-execution behavioural prediction inherently faces limitations of insufficient precision.</w:t>
      </w:r>
    </w:p>
    <w:p>
      <w:pPr>
        <w:pStyle w:val="BodyText"/>
      </w:pPr>
      <w:r>
        <w:rPr>
          <w:b/>
          <w:bCs/>
        </w:rPr>
        <w:t xml:space="preserve">(2) Scenario Feasibility Evaluation.</w:t>
      </w:r>
      <w:r>
        <w:t xml:space="preserve"> </w:t>
      </w:r>
      <w:r>
        <w:t xml:space="preserve">Informed by the DSR evaluation perspective of scenario-based assessment, three typical skill invocation scenarios were designed based on the high-risk operations identified during field observation to assess the prototype’s technical feasibility: (a)</w:t>
      </w:r>
      <w:r>
        <w:t xml:space="preserve"> </w:t>
      </w:r>
      <w:r>
        <w:rPr>
          <w:b/>
          <w:bCs/>
        </w:rPr>
        <w:t xml:space="preserve">High-risk scenario</w:t>
      </w:r>
      <w:r>
        <w:t xml:space="preserve">—the</w:t>
      </w:r>
      <w:r>
        <w:t xml:space="preserve"> </w:t>
      </w:r>
      <w:r>
        <w:t xml:space="preserve">“WeChat Official Account article publication”</w:t>
      </w:r>
      <w:r>
        <w:t xml:space="preserve"> </w:t>
      </w:r>
      <w:r>
        <w:t xml:space="preserve">skill on the Coze platform (irreversible public content operation), expecting the prototype’s consent token mechanism to trigger user authorisation confirmation before skill execution; (b)</w:t>
      </w:r>
      <w:r>
        <w:t xml:space="preserve"> </w:t>
      </w:r>
      <w:r>
        <w:rPr>
          <w:b/>
          <w:bCs/>
        </w:rPr>
        <w:t xml:space="preserve">Medium-risk scenario</w:t>
      </w:r>
      <w:r>
        <w:t xml:space="preserve">—the</w:t>
      </w:r>
      <w:r>
        <w:t xml:space="preserve"> </w:t>
      </w:r>
      <w:r>
        <w:t xml:space="preserve">“browser automation”</w:t>
      </w:r>
      <w:r>
        <w:t xml:space="preserve"> </w:t>
      </w:r>
      <w:r>
        <w:t xml:space="preserve">skill on WorkBuddy (capable of performing logins and form submissions), expecting the prototype’s pre-check stage to generate a medium-impact level assessment and trigger structured risk warnings; (c)</w:t>
      </w:r>
      <w:r>
        <w:t xml:space="preserve"> </w:t>
      </w:r>
      <w:r>
        <w:rPr>
          <w:b/>
          <w:bCs/>
        </w:rPr>
        <w:t xml:space="preserve">Composite risk scenario</w:t>
      </w:r>
      <w:r>
        <w:t xml:space="preserve">—simulating a combined execution scenario in which Skill A invokes Skill B (e.g., a</w:t>
      </w:r>
      <w:r>
        <w:t xml:space="preserve"> </w:t>
      </w:r>
      <w:r>
        <w:t xml:space="preserve">“data analysis”</w:t>
      </w:r>
      <w:r>
        <w:t xml:space="preserve"> </w:t>
      </w:r>
      <w:r>
        <w:t xml:space="preserve">skill invoking an</w:t>
      </w:r>
      <w:r>
        <w:t xml:space="preserve"> </w:t>
      </w:r>
      <w:r>
        <w:t xml:space="preserve">“email sending”</w:t>
      </w:r>
      <w:r>
        <w:t xml:space="preserve"> </w:t>
      </w:r>
      <w:r>
        <w:t xml:space="preserve">skill to share results), expecting the prototype’s audit chain to record the complete cross-skill invocation path.</w:t>
      </w:r>
    </w:p>
    <w:p>
      <w:pPr>
        <w:pStyle w:val="BodyText"/>
      </w:pPr>
      <w:r>
        <w:t xml:space="preserve">The scenario evaluation was conducted using Zhipu Z.AI as a controlled experimental environment. The evaluation results showed that: (a) the prototype’s five-stage process is technically executable, and the pre-check stage can generate simplified yet reasonable impact level assessments based on skill metadata; (b) the structured presentation of the consent token was correctly parsed by the agent, and the user (i.e., the researcher himself) was able to obtain three key pieces of information before skill execution—operation description, impact scope, and risk level; (c) the chained hash structure of the audit chain verified its tamper-resistance during prototype testing—modification of any historical record resulted in subsequent hash validation failures. However, the evaluation also revealed two important limitations: first, the precision of impact assessment in the pre-check stage is limited, relying primarily on functional categories in skill metadata for coarse-grained classification and unable to accurately predict a skill’s actual behaviour in specific contexts—this echoes the contemporary extension of Suchman’s (2007) fundamental tension between</w:t>
      </w:r>
      <w:r>
        <w:t xml:space="preserve"> </w:t>
      </w:r>
      <w:r>
        <w:t xml:space="preserve">“plans and situated action”</w:t>
      </w:r>
      <w:r>
        <w:t xml:space="preserve">; second, cross-skill audit tracing in the composite risk scenario depends on the skill framework’s support for the</w:t>
      </w:r>
      <w:r>
        <w:t xml:space="preserve"> </w:t>
      </w:r>
      <w:r>
        <w:t xml:space="preserve">“meta-skill wrapping”</w:t>
      </w:r>
      <w:r>
        <w:t xml:space="preserve"> </w:t>
      </w:r>
      <w:r>
        <w:t xml:space="preserve">pattern, and current mainstream agent frameworks (including Zhipu Z.AI) do not yet natively support this pattern, requiring an additional adaptation layer for implementation.</w:t>
      </w:r>
    </w:p>
    <w:p>
      <w:pPr>
        <w:pStyle w:val="BodyText"/>
      </w:pPr>
      <w:r>
        <w:rPr>
          <w:b/>
          <w:bCs/>
        </w:rPr>
        <w:t xml:space="preserve">(3) Specification Compatibility Evaluation.</w:t>
      </w:r>
      <w:r>
        <w:t xml:space="preserve"> </w:t>
      </w:r>
      <w:r>
        <w:t xml:space="preserve">Guided by the DSR principle of design verification, this paper systematically assessed the backward compatibility of the R-Skills governance extension. This evaluation aims to address a key design principle question: does the introduction of a governance layer (GOVERNANCE.md) into the AgentSkills.io specification compromise the interoperability of the existing skill ecosystem? The evaluation proceeds along three dimensions:</w:t>
      </w:r>
    </w:p>
    <w:p>
      <w:pPr>
        <w:pStyle w:val="Compact"/>
        <w:numPr>
          <w:ilvl w:val="0"/>
          <w:numId w:val="1003"/>
        </w:numPr>
      </w:pPr>
      <w:r>
        <w:rPr>
          <w:b/>
          <w:bCs/>
        </w:rPr>
        <w:t xml:space="preserve">(a) Parsing Non-Destructiveness.</w:t>
      </w:r>
      <w:r>
        <w:t xml:space="preserve"> </w:t>
      </w:r>
      <w:r>
        <w:t xml:space="preserve">An R-Skills format skill package containing the GOVERNANCE.md attachment was input to the skill parsers of both the Zhipu Z.AI and OpenClaw platforms to verify whether the platforms could still correctly identify all core fields (name, description, trigger, metadata) in the original SKILL.md file. The test results indicate that both platforms’ parsers correctly ignored the non-standard file (GOVERNANCE.md) and fully read all fields in SKILL.md—this is because the AgentSkills.io specification requires parsers to recognise only specific filenames (SKILL.md), and GOVERNANCE.md as an additional file does not trigger parsing conflicts.</w:t>
      </w:r>
    </w:p>
    <w:p>
      <w:pPr>
        <w:pStyle w:val="Compact"/>
        <w:numPr>
          <w:ilvl w:val="0"/>
          <w:numId w:val="1003"/>
        </w:numPr>
      </w:pPr>
      <w:r>
        <w:rPr>
          <w:b/>
          <w:bCs/>
        </w:rPr>
        <w:t xml:space="preserve">(b) Field Integrity.</w:t>
      </w:r>
      <w:r>
        <w:t xml:space="preserve"> </w:t>
      </w:r>
      <w:r>
        <w:t xml:space="preserve">All original fields defined by the AgentSkills.io specification (name, description, trigger, metadata, scripts, resources) were individually verified to maintain semantic invariance following the R-Skills extension. Comparative analysis confirmed that the R-Skills standard did not modify, override, or redefine any original fields, and that governance-related new fields (impact_class, consent_required, audit_level, etc.) are all defined in the separate GOVERNANCE.md file.</w:t>
      </w:r>
    </w:p>
    <w:p>
      <w:pPr>
        <w:pStyle w:val="Compact"/>
        <w:numPr>
          <w:ilvl w:val="0"/>
          <w:numId w:val="1003"/>
        </w:numPr>
      </w:pPr>
      <w:r>
        <w:rPr>
          <w:b/>
          <w:bCs/>
        </w:rPr>
        <w:t xml:space="preserve">(c) Namespace Isolation.</w:t>
      </w:r>
      <w:r>
        <w:t xml:space="preserve"> </w:t>
      </w:r>
      <w:r>
        <w:t xml:space="preserve">An examination was conducted to determine whether semantic conflicts exist between the governance field namespace in GOVERNANCE.md and the original fields in SKILL.md. The analysis results indicate that the naming conventions adopted in GOVERNANCE.md (e.g.,</w:t>
      </w:r>
      <w:r>
        <w:t xml:space="preserve"> </w:t>
      </w:r>
      <w:r>
        <w:rPr>
          <w:rStyle w:val="VerbatimChar"/>
        </w:rPr>
        <w:t xml:space="preserve">governance.impact_class</w:t>
      </w:r>
      <w:r>
        <w:t xml:space="preserve">,</w:t>
      </w:r>
      <w:r>
        <w:t xml:space="preserve"> </w:t>
      </w:r>
      <w:r>
        <w:rPr>
          <w:rStyle w:val="VerbatimChar"/>
        </w:rPr>
        <w:t xml:space="preserve">governance.audit_level</w:t>
      </w:r>
      <w:r>
        <w:t xml:space="preserve">) and the SKILL.md fields (e.g.,</w:t>
      </w:r>
      <w:r>
        <w:t xml:space="preserve"> </w:t>
      </w:r>
      <w:r>
        <w:rPr>
          <w:rStyle w:val="VerbatimChar"/>
        </w:rPr>
        <w:t xml:space="preserve">metadata.author</w:t>
      </w:r>
      <w:r>
        <w:t xml:space="preserve">,</w:t>
      </w:r>
      <w:r>
        <w:t xml:space="preserve"> </w:t>
      </w:r>
      <w:r>
        <w:rPr>
          <w:rStyle w:val="VerbatimChar"/>
        </w:rPr>
        <w:t xml:space="preserve">trigger.pattern</w:t>
      </w:r>
      <w:r>
        <w:t xml:space="preserve">) reside at different namespace levels, posing no risk of key name conflicts or semantic ambiguity.</w:t>
      </w:r>
    </w:p>
    <w:p>
      <w:pPr>
        <w:pStyle w:val="FirstParagraph"/>
      </w:pPr>
      <w:r>
        <w:t xml:space="preserve">The results of this evaluation verify that the R-Skills extension satisfies the design principle of backward compatibility—existing skills can continue to function normally on AgentSkills.io-supporting platforms without any modification, whilst skills that opt to adopt the R-Skills extension additionally gain governance capabilities. This</w:t>
      </w:r>
      <w:r>
        <w:t xml:space="preserve"> </w:t>
      </w:r>
      <w:r>
        <w:t xml:space="preserve">“progressive enhancement”</w:t>
      </w:r>
      <w:r>
        <w:t xml:space="preserve"> </w:t>
      </w:r>
      <w:r>
        <w:t xml:space="preserve">design strategy responds to the core imperative articulated in the Collingridge (1980) dilemma of</w:t>
      </w:r>
      <w:r>
        <w:t xml:space="preserve"> </w:t>
      </w:r>
      <w:r>
        <w:t xml:space="preserve">“embedding governance without stifling innovation.”</w:t>
      </w:r>
    </w:p>
    <w:p>
      <w:pPr>
        <w:pStyle w:val="BodyText"/>
      </w:pPr>
      <w:r>
        <w:rPr>
          <w:b/>
          <w:bCs/>
        </w:rPr>
        <w:t xml:space="preserve">(4) Theoretical Sufficiency Evaluation Based on Audit Data.</w:t>
      </w:r>
      <w:r>
        <w:t xml:space="preserve"> </w:t>
      </w:r>
      <w:r>
        <w:t xml:space="preserve">Corresponding to the</w:t>
      </w:r>
      <w:r>
        <w:t xml:space="preserve"> </w:t>
      </w:r>
      <w:r>
        <w:t xml:space="preserve">“research rigour”</w:t>
      </w:r>
      <w:r>
        <w:t xml:space="preserve"> </w:t>
      </w:r>
      <w:r>
        <w:t xml:space="preserve">requirement within Hevner et al.’s (2004) DSR guidelines, this paper conducted a sufficiency test of the audit data foundation supporting the theoretical claims. This evaluation aims to address the question: are the theoretical inferences drawn from the audit data in this paper (e.g.,</w:t>
      </w:r>
      <w:r>
        <w:t xml:space="preserve"> </w:t>
      </w:r>
      <w:r>
        <w:t xml:space="preserve">“governance lag,”</w:t>
      </w:r>
      <w:r>
        <w:t xml:space="preserve"> </w:t>
      </w:r>
      <w:r>
        <w:t xml:space="preserve">“responsibility vacuum”</w:t>
      </w:r>
      <w:r>
        <w:t xml:space="preserve">) adequately supported by empirical evidence? The evaluation proceeds along three construct validity dimensions:</w:t>
      </w:r>
    </w:p>
    <w:p>
      <w:pPr>
        <w:pStyle w:val="Compact"/>
        <w:numPr>
          <w:ilvl w:val="0"/>
          <w:numId w:val="1004"/>
        </w:numPr>
      </w:pPr>
      <w:r>
        <w:rPr>
          <w:b/>
          <w:bCs/>
        </w:rPr>
        <w:t xml:space="preserve">(a) Operationalisation Adequacy.</w:t>
      </w:r>
      <w:r>
        <w:t xml:space="preserve"> </w:t>
      </w:r>
      <w:r>
        <w:t xml:space="preserve">A test of whether Wieringa’s (2020) four-dimensional algorithmic accountability framework was appropriately operationalised in the audit context of this paper. The audit framework maps the four abstract dimensions respectively to observable skill attributes: transparency → whether the skill description includes permission scope and impact assessment; explainability → whether the skill provides behavioural pathway descriptions at runtime; contestability → whether the skill implements authorisation confirmation and revocation mechanisms; auditability → whether the skill generates audit logs and exposes tracing interfaces. The above operationalisation transforms theoretical constructs into binary codable variables, providing a unified coding scheme for systematic cross-platform auditing. This operationalisation strategy is broadly consistent with the dimensional definitions of Wieringa’s (2020) original framework. However, it should be acknowledged that the operationalisation of the explainability dimension necessarily narrows the construct: Wieringa’s original concept encompasses understanding</w:t>
      </w:r>
      <w:r>
        <w:t xml:space="preserve"> </w:t>
      </w:r>
      <w:r>
        <w:rPr>
          <w:i/>
          <w:iCs/>
        </w:rPr>
        <w:t xml:space="preserve">why</w:t>
      </w:r>
      <w:r>
        <w:t xml:space="preserve"> </w:t>
      </w:r>
      <w:r>
        <w:t xml:space="preserve">an algorithmic system produces specific outputs, whereas the audit context of natural-language-driven skills limits assessment to whether the skill provides behavioural transparency at runtime (understanding</w:t>
      </w:r>
      <w:r>
        <w:t xml:space="preserve"> </w:t>
      </w:r>
      <w:r>
        <w:rPr>
          <w:i/>
          <w:iCs/>
        </w:rPr>
        <w:t xml:space="preserve">what</w:t>
      </w:r>
      <w:r>
        <w:t xml:space="preserve"> </w:t>
      </w:r>
      <w:r>
        <w:t xml:space="preserve">it does). The distinction between explainability and auditability is therefore partially blurred in this operationalisation—a limitation that is inherent to the current stage of skill technology development rather than a methodological oversight.</w:t>
      </w:r>
    </w:p>
    <w:p>
      <w:pPr>
        <w:pStyle w:val="Compact"/>
        <w:numPr>
          <w:ilvl w:val="0"/>
          <w:numId w:val="1004"/>
        </w:numPr>
      </w:pPr>
      <w:r>
        <w:rPr>
          <w:b/>
          <w:bCs/>
        </w:rPr>
        <w:t xml:space="preserve">(b) Cross-Platform Convergent Validity.</w:t>
      </w:r>
      <w:r>
        <w:t xml:space="preserve"> </w:t>
      </w:r>
      <w:r>
        <w:t xml:space="preserve">A test of whether the five platforms—Zhipu Z.AI (AI-native enterprise), Coze (internet giant’s developer platform), WorkBuddy (end-user product), Claude Skills (international AI enterprise ecosystem), and OpenClaw/ClawHub (open-source community platform)—which differ significantly in technological architecture, business model, and user community, demonstrate convergent audit results. The audit results show that the governance absence rates across all five platforms approach 100% under Wieringa’s (2020) four-dimensional framework. This</w:t>
      </w:r>
      <w:r>
        <w:t xml:space="preserve"> </w:t>
      </w:r>
      <w:r>
        <w:t xml:space="preserve">“convergent results under divergent contexts”</w:t>
      </w:r>
      <w:r>
        <w:t xml:space="preserve"> </w:t>
      </w:r>
      <w:r>
        <w:t xml:space="preserve">(Campbell &amp; Fiske, 1959) provides convergent validity support for the theoretical inferences: the convergence of governance absence across the five platforms is unlikely to be explained by measurement error or platform-specific factors, and more likely reflects an underlying common cause—namely, the governance void in the AgentSkills.io specification and the structural characteristics of governance lag.</w:t>
      </w:r>
    </w:p>
    <w:p>
      <w:pPr>
        <w:pStyle w:val="Compact"/>
        <w:numPr>
          <w:ilvl w:val="0"/>
          <w:numId w:val="1004"/>
        </w:numPr>
      </w:pPr>
      <w:r>
        <w:rPr>
          <w:b/>
          <w:bCs/>
        </w:rPr>
        <w:t xml:space="preserve">(c) External Validity Check.</w:t>
      </w:r>
      <w:r>
        <w:t xml:space="preserve"> </w:t>
      </w:r>
      <w:r>
        <w:t xml:space="preserve">A test of whether the audit findings are consistent with independent external evidence. The</w:t>
      </w:r>
      <w:r>
        <w:t xml:space="preserve"> </w:t>
      </w:r>
      <w:r>
        <w:t xml:space="preserve">“skill supply chain poisoning”</w:t>
      </w:r>
      <w:r>
        <w:t xml:space="preserve"> </w:t>
      </w:r>
      <w:r>
        <w:t xml:space="preserve">incident documented in the HKCERT (2026) report cited in this paper provides real-world external validation of the governance gaps identified in the audit. The</w:t>
      </w:r>
      <w:r>
        <w:t xml:space="preserve"> </w:t>
      </w:r>
      <w:r>
        <w:t xml:space="preserve">“distribution node gatekeeping failure”</w:t>
      </w:r>
      <w:r>
        <w:t xml:space="preserve"> </w:t>
      </w:r>
      <w:r>
        <w:t xml:space="preserve">revealed by the audit directly explains the causal pathway through which malicious skills passed platform review and entered the ecosystem, whilst the</w:t>
      </w:r>
      <w:r>
        <w:t xml:space="preserve"> </w:t>
      </w:r>
      <w:r>
        <w:t xml:space="preserve">“consumption node silent execution mode”</w:t>
      </w:r>
      <w:r>
        <w:t xml:space="preserve"> </w:t>
      </w:r>
      <w:r>
        <w:t xml:space="preserve">identified in the audit explains the technical reason why malicious skills were not promptly detected at runtime. The consistency of the causal chain between the audit data and real-world security incidents enhances the external validity of this paper’s theoretical claims.</w:t>
      </w:r>
    </w:p>
    <w:p>
      <w:pPr>
        <w:pStyle w:val="FirstParagraph"/>
      </w:pPr>
      <w:r>
        <w:rPr>
          <w:b/>
          <w:bCs/>
        </w:rPr>
        <w:t xml:space="preserve">Table 7: Summary of Preliminary Evaluation Activities</w:t>
      </w:r>
    </w:p>
    <w:tbl>
      <w:tblPr>
        <w:tblStyle w:val="Table"/>
        <w:tblW w:type="pct" w:w="5000"/>
        <w:tblLayout w:type="fixed"/>
        <w:tblLook w:firstRow="1" w:lastRow="0" w:firstColumn="0" w:lastColumn="0" w:noHBand="0" w:noVBand="0" w:val="0020"/>
      </w:tblPr>
      <w:tblGrid>
        <w:gridCol w:w="707"/>
        <w:gridCol w:w="1414"/>
        <w:gridCol w:w="1838"/>
        <w:gridCol w:w="1555"/>
        <w:gridCol w:w="990"/>
        <w:gridCol w:w="1414"/>
      </w:tblGrid>
      <w:tr>
        <w:trPr>
          <w:tblHeader w:val="on"/>
        </w:trPr>
        <w:tc>
          <w:tcPr/>
          <w:p>
            <w:pPr>
              <w:pStyle w:val="Compact"/>
            </w:pPr>
            <w:r>
              <w:t xml:space="preserve">No.</w:t>
            </w:r>
          </w:p>
        </w:tc>
        <w:tc>
          <w:tcPr/>
          <w:p>
            <w:pPr>
              <w:pStyle w:val="Compact"/>
            </w:pPr>
            <w:r>
              <w:t xml:space="preserve">Activity</w:t>
            </w:r>
          </w:p>
        </w:tc>
        <w:tc>
          <w:tcPr/>
          <w:p>
            <w:pPr>
              <w:pStyle w:val="Compact"/>
            </w:pPr>
            <w:r>
              <w:t xml:space="preserve">Perspective</w:t>
            </w:r>
          </w:p>
        </w:tc>
        <w:tc>
          <w:tcPr/>
          <w:p>
            <w:pPr>
              <w:pStyle w:val="Compact"/>
            </w:pPr>
            <w:r>
              <w:t xml:space="preserve">Guideline</w:t>
            </w:r>
          </w:p>
        </w:tc>
        <w:tc>
          <w:tcPr/>
          <w:p>
            <w:pPr>
              <w:pStyle w:val="Compact"/>
            </w:pPr>
            <w:r>
              <w:t xml:space="preserve">Focus</w:t>
            </w:r>
          </w:p>
        </w:tc>
        <w:tc>
          <w:tcPr/>
          <w:p>
            <w:pPr>
              <w:pStyle w:val="Compact"/>
            </w:pPr>
            <w:r>
              <w:t xml:space="preserve">Findings</w:t>
            </w:r>
          </w:p>
        </w:tc>
      </w:tr>
      <w:tr>
        <w:tc>
          <w:tcPr/>
          <w:p>
            <w:pPr>
              <w:pStyle w:val="Compact"/>
            </w:pPr>
            <w:r>
              <w:t xml:space="preserve">(1)</w:t>
            </w:r>
          </w:p>
        </w:tc>
        <w:tc>
          <w:tcPr/>
          <w:p>
            <w:pPr>
              <w:pStyle w:val="Compact"/>
            </w:pPr>
            <w:r>
              <w:t xml:space="preserve">Normative mapping</w:t>
            </w:r>
          </w:p>
        </w:tc>
        <w:tc>
          <w:tcPr/>
          <w:p>
            <w:pPr>
              <w:pStyle w:val="Compact"/>
            </w:pPr>
            <w:r>
              <w:t xml:space="preserve">Conceptual self-consistency</w:t>
            </w:r>
          </w:p>
        </w:tc>
        <w:tc>
          <w:tcPr/>
          <w:p>
            <w:pPr>
              <w:pStyle w:val="Compact"/>
            </w:pPr>
            <w:r>
              <w:t xml:space="preserve">Hevner et al., 2004</w:t>
            </w:r>
          </w:p>
        </w:tc>
        <w:tc>
          <w:tcPr/>
          <w:p>
            <w:pPr>
              <w:pStyle w:val="Compact"/>
            </w:pPr>
            <w:r>
              <w:t xml:space="preserve">Internal correspondence between prototype design features and theoretical requirements</w:t>
            </w:r>
          </w:p>
        </w:tc>
        <w:tc>
          <w:tcPr/>
          <w:p>
            <w:pPr>
              <w:pStyle w:val="Compact"/>
            </w:pPr>
            <w:r>
              <w:t xml:space="preserve">Five-stage process maps to four-dimensional framework; explainability coverage weakest</w:t>
            </w:r>
          </w:p>
        </w:tc>
      </w:tr>
      <w:tr>
        <w:tc>
          <w:tcPr/>
          <w:p>
            <w:pPr>
              <w:pStyle w:val="Compact"/>
            </w:pPr>
            <w:r>
              <w:t xml:space="preserve">(2)</w:t>
            </w:r>
          </w:p>
        </w:tc>
        <w:tc>
          <w:tcPr/>
          <w:p>
            <w:pPr>
              <w:pStyle w:val="Compact"/>
            </w:pPr>
            <w:r>
              <w:t xml:space="preserve">Scenario feasibility</w:t>
            </w:r>
          </w:p>
        </w:tc>
        <w:tc>
          <w:tcPr/>
          <w:p>
            <w:pPr>
              <w:pStyle w:val="Compact"/>
            </w:pPr>
            <w:r>
              <w:t xml:space="preserve">Technical feasibility</w:t>
            </w:r>
          </w:p>
        </w:tc>
        <w:tc>
          <w:tcPr/>
          <w:p>
            <w:pPr>
              <w:pStyle w:val="Compact"/>
            </w:pPr>
            <w:r>
              <w:t xml:space="preserve">Pries-Heje et al., 2008</w:t>
            </w:r>
          </w:p>
        </w:tc>
        <w:tc>
          <w:tcPr/>
          <w:p>
            <w:pPr>
              <w:pStyle w:val="Compact"/>
            </w:pPr>
            <w:r>
              <w:t xml:space="preserve">Prototype feasibility across three typical scenarios</w:t>
            </w:r>
          </w:p>
        </w:tc>
        <w:tc>
          <w:tcPr/>
          <w:p>
            <w:pPr>
              <w:pStyle w:val="Compact"/>
            </w:pPr>
            <w:r>
              <w:t xml:space="preserve">Five-stage process executable; impact assessment precision limited; cross-skill auditing needs adaptation layer</w:t>
            </w:r>
          </w:p>
        </w:tc>
      </w:tr>
      <w:tr>
        <w:tc>
          <w:tcPr/>
          <w:p>
            <w:pPr>
              <w:pStyle w:val="Compact"/>
            </w:pPr>
            <w:r>
              <w:t xml:space="preserve">(3)</w:t>
            </w:r>
          </w:p>
        </w:tc>
        <w:tc>
          <w:tcPr/>
          <w:p>
            <w:pPr>
              <w:pStyle w:val="Compact"/>
            </w:pPr>
            <w:r>
              <w:t xml:space="preserve">Specification compatibility</w:t>
            </w:r>
          </w:p>
        </w:tc>
        <w:tc>
          <w:tcPr/>
          <w:p>
            <w:pPr>
              <w:pStyle w:val="Compact"/>
            </w:pPr>
            <w:r>
              <w:t xml:space="preserve">Design principle verification</w:t>
            </w:r>
          </w:p>
        </w:tc>
        <w:tc>
          <w:tcPr/>
          <w:p>
            <w:pPr>
              <w:pStyle w:val="Compact"/>
            </w:pPr>
            <w:r>
              <w:t xml:space="preserve">Hevner et al., 2004</w:t>
            </w:r>
          </w:p>
        </w:tc>
        <w:tc>
          <w:tcPr/>
          <w:p>
            <w:pPr>
              <w:pStyle w:val="Compact"/>
            </w:pPr>
            <w:r>
              <w:t xml:space="preserve">Backward compatibility of R-Skills extension</w:t>
            </w:r>
          </w:p>
        </w:tc>
        <w:tc>
          <w:tcPr/>
          <w:p>
            <w:pPr>
              <w:pStyle w:val="Compact"/>
            </w:pPr>
            <w:r>
              <w:t xml:space="preserve">Parsing non-destructive; fields complete; namespaces isolated; satisfies progressive enhancement principle</w:t>
            </w:r>
          </w:p>
        </w:tc>
      </w:tr>
      <w:tr>
        <w:tc>
          <w:tcPr/>
          <w:p>
            <w:pPr>
              <w:pStyle w:val="Compact"/>
            </w:pPr>
            <w:r>
              <w:t xml:space="preserve">(4)</w:t>
            </w:r>
          </w:p>
        </w:tc>
        <w:tc>
          <w:tcPr/>
          <w:p>
            <w:pPr>
              <w:pStyle w:val="Compact"/>
            </w:pPr>
            <w:r>
              <w:t xml:space="preserve">Theoretical sufficiency</w:t>
            </w:r>
          </w:p>
        </w:tc>
        <w:tc>
          <w:tcPr/>
          <w:p>
            <w:pPr>
              <w:pStyle w:val="Compact"/>
            </w:pPr>
            <w:r>
              <w:t xml:space="preserve">Construct validity</w:t>
            </w:r>
          </w:p>
        </w:tc>
        <w:tc>
          <w:tcPr/>
          <w:p>
            <w:pPr>
              <w:pStyle w:val="Compact"/>
            </w:pPr>
            <w:r>
              <w:t xml:space="preserve">Hevner et al., 2004</w:t>
            </w:r>
          </w:p>
        </w:tc>
        <w:tc>
          <w:tcPr/>
          <w:p>
            <w:pPr>
              <w:pStyle w:val="Compact"/>
            </w:pPr>
            <w:r>
              <w:t xml:space="preserve">Empirical sufficiency of audit data</w:t>
            </w:r>
          </w:p>
        </w:tc>
        <w:tc>
          <w:tcPr/>
          <w:p>
            <w:pPr>
              <w:pStyle w:val="Compact"/>
            </w:pPr>
            <w:r>
              <w:t xml:space="preserve">Framework operationalisation adequate; cross-platform convergent validity established; external validity corroborated by HKCERT</w:t>
            </w:r>
          </w:p>
        </w:tc>
      </w:tr>
    </w:tbl>
    <w:p>
      <w:pPr>
        <w:pStyle w:val="BodyText"/>
      </w:pPr>
      <w:r>
        <w:rPr>
          <w:b/>
          <w:bCs/>
        </w:rPr>
        <w:t xml:space="preserve">Scope and maturity of the evaluation activities.</w:t>
      </w:r>
      <w:r>
        <w:t xml:space="preserve"> </w:t>
      </w:r>
      <w:r>
        <w:t xml:space="preserve">The limitations of the four evaluation activities above require careful delineation. The normative mapping evaluation (1) is inherently a conceptual-level self-consistency verification; although completed through the researcher’s systematic cross-referencing against Wieringa’s (2020) framework, it lacks external review by independent domain experts. The scenario feasibility evaluation (2) was conducted solely by the researcher on a single platform, lacking multi-user, multi-platform cross-validation and controlled experiments. The specification compatibility evaluation (3) was verified across only two platforms (Zhipu Z.AI and OpenClaw), without cross-validation on Coze, WorkBuddy, and Claude Skills. The theoretical sufficiency evaluation (4), whilst providing multi-method validity support at the methodological level, draws audit data from the researcher’s own field observation rather than large-scale automated collection; the representativeness and reproducibility of the data warrant further examination.</w:t>
      </w:r>
    </w:p>
    <w:p>
      <w:pPr>
        <w:pStyle w:val="BodyText"/>
      </w:pPr>
      <w:r>
        <w:t xml:space="preserve">Within the DSR evaluation maturity model proposed by Pries-Heje et al. (2008), the four evaluation activities collectively provide evidence at the level of</w:t>
      </w:r>
      <w:r>
        <w:t xml:space="preserve"> </w:t>
      </w:r>
      <w:r>
        <w:rPr>
          <w:b/>
          <w:bCs/>
        </w:rPr>
        <w:t xml:space="preserve">conceptual feasibility and internal consistency</w:t>
      </w:r>
      <w:r>
        <w:t xml:space="preserve">—they demonstrate that the prototype’s design is logically coherent with the identified problem and theoretically grounded, and that the core technical mechanisms are executable in a controlled setting. However, these evaluations do not satisfy the criteria for</w:t>
      </w:r>
      <w:r>
        <w:t xml:space="preserve"> </w:t>
      </w:r>
      <w:r>
        <w:t xml:space="preserve">“Initial Validation”</w:t>
      </w:r>
      <w:r>
        <w:t xml:space="preserve"> </w:t>
      </w:r>
      <w:r>
        <w:t xml:space="preserve">as defined by Pries-Heje et al. (2008), which requires demonstration of the artefact’s utility and quality through more robust forms of evidence such as independent expert review, controlled experiments, or multi-platform deployment testing. The present study is therefore more accurately positioned at the level of</w:t>
      </w:r>
      <w:r>
        <w:t xml:space="preserve"> </w:t>
      </w:r>
      <w:r>
        <w:rPr>
          <w:b/>
          <w:bCs/>
        </w:rPr>
        <w:t xml:space="preserve">problem formulation and artefact description</w:t>
      </w:r>
      <w:r>
        <w:t xml:space="preserve"> </w:t>
      </w:r>
      <w:r>
        <w:t xml:space="preserve">within the DSR maturity model, with preliminary evidence of conceptual feasibility providing a foundation for, but not a substitute for, the rigorous validation that subsequent research should pursue. Full validation would at minimum require: (a)</w:t>
      </w:r>
      <w:r>
        <w:t xml:space="preserve"> </w:t>
      </w:r>
      <w:r>
        <w:rPr>
          <w:b/>
          <w:bCs/>
        </w:rPr>
        <w:t xml:space="preserve">longitudinal tracking studies</w:t>
      </w:r>
      <w:r>
        <w:t xml:space="preserve">—observing the evolutionary effects of governance mechanisms in actual use over timescales of months or even years; (b)</w:t>
      </w:r>
      <w:r>
        <w:t xml:space="preserve"> </w:t>
      </w:r>
      <w:r>
        <w:rPr>
          <w:b/>
          <w:bCs/>
        </w:rPr>
        <w:t xml:space="preserve">controlled experiments</w:t>
      </w:r>
      <w:r>
        <w:t xml:space="preserve">—quantifying the impact of governance mechanisms on security incident rates and user experience through comparison between experimental groups (governance mechanisms enabled) and control groups (governance mechanisms not enabled); and (c)</w:t>
      </w:r>
      <w:r>
        <w:t xml:space="preserve"> </w:t>
      </w:r>
      <w:r>
        <w:rPr>
          <w:b/>
          <w:bCs/>
        </w:rPr>
        <w:t xml:space="preserve">independent expert review panels</w:t>
      </w:r>
      <w:r>
        <w:t xml:space="preserve">—engaging scholars and practitioners from information security, human-computer interaction, AI governance, and platform regulation to systematically evaluate the design artefact’s sufficiency, applicability, and potential unintended consequences. These constitute important directions for future research and are further discussed in the research agenda of Section 6.</w:t>
      </w:r>
    </w:p>
    <w:p>
      <w:r>
        <w:pict>
          <v:rect style="width:0;height:1.5pt" o:hralign="center" o:hrstd="t" o:hr="t"/>
        </w:pict>
      </w:r>
    </w:p>
    <w:bookmarkEnd w:id="48"/>
    <w:bookmarkEnd w:id="49"/>
    <w:bookmarkEnd w:id="50"/>
    <w:bookmarkStart w:id="54" w:name="case-analysis-and-discussion"/>
    <w:p>
      <w:pPr>
        <w:pStyle w:val="Heading2"/>
      </w:pPr>
      <w:r>
        <w:t xml:space="preserve">5. Case Analysis and Discussion</w:t>
      </w:r>
    </w:p>
    <w:bookmarkStart w:id="51" w:name="X31871af52be2c73a76b18f26ba57573af9f24f4"/>
    <w:p>
      <w:pPr>
        <w:pStyle w:val="Heading3"/>
      </w:pPr>
      <w:r>
        <w:t xml:space="preserve">5.1 Empirical Characterisation of the Responsibility Vacuum and Validation of Governance Lag</w:t>
      </w:r>
    </w:p>
    <w:p>
      <w:pPr>
        <w:pStyle w:val="FirstParagraph"/>
      </w:pPr>
      <w:r>
        <w:t xml:space="preserve">The cross-platform field observation results provide robust empirical support for the theoretical framework. From the perspective of governance lag, the near-100% governance absence rate across 2,600+ skills on five platforms, as assessed under Wieringa’s (2020) four-dimensional framework, offers quantitative validation of the governance lag thesis: throughout the skill ecosystem’s growth from zero to thousands of skills, governance mechanisms have remained at zero—the temporal lag between the technology growth curve and the governance response curve is not a linear gap of</w:t>
      </w:r>
      <w:r>
        <w:t xml:space="preserve"> </w:t>
      </w:r>
      <w:r>
        <w:t xml:space="preserve">“several months,”</w:t>
      </w:r>
      <w:r>
        <w:t xml:space="preserve"> </w:t>
      </w:r>
      <w:r>
        <w:t xml:space="preserve">but rather a structural rupture characterised as</w:t>
      </w:r>
      <w:r>
        <w:t xml:space="preserve"> </w:t>
      </w:r>
      <w:r>
        <w:t xml:space="preserve">“zero to zero.”</w:t>
      </w:r>
    </w:p>
    <w:p>
      <w:pPr>
        <w:pStyle w:val="BodyText"/>
      </w:pPr>
      <w:r>
        <w:t xml:space="preserve">From the supply chain risk perspective, the governance absence across the five platforms can be systematically analysed along four nodes of the skill supply chain. At the</w:t>
      </w:r>
      <w:r>
        <w:t xml:space="preserve"> </w:t>
      </w:r>
      <w:r>
        <w:rPr>
          <w:b/>
          <w:bCs/>
        </w:rPr>
        <w:t xml:space="preserve">creation node</w:t>
      </w:r>
      <w:r>
        <w:t xml:space="preserve"> </w:t>
      </w:r>
      <w:r>
        <w:t xml:space="preserve">(developer side), the natural language descriptions of all 2,600+ skills across the five platforms failed to encapsulate developers’ responsibility intentions—Nonaka and Takeuchi’s (1995) knowledge creation theory reminds us that the conversion of tacit knowledge (such as an understanding of a skill’s potential risks) into explicit knowledge (such as responsibility declarations) requires systematic mechanism support, yet no such mechanism exists in current skill development practice. The</w:t>
      </w:r>
      <w:r>
        <w:t xml:space="preserve"> </w:t>
      </w:r>
      <w:r>
        <w:t xml:space="preserve">“skill supply chain poisoning”</w:t>
      </w:r>
      <w:r>
        <w:t xml:space="preserve"> </w:t>
      </w:r>
      <w:r>
        <w:t xml:space="preserve">incident documented in the HKCERT (2026) report is a direct consequence of governance absence at the creation node—malicious skills were able to disguise themselves as legitimate SKILL.md files and infiltrate the ecosystem. At the</w:t>
      </w:r>
      <w:r>
        <w:t xml:space="preserve"> </w:t>
      </w:r>
      <w:r>
        <w:rPr>
          <w:b/>
          <w:bCs/>
        </w:rPr>
        <w:t xml:space="preserve">propagation node</w:t>
      </w:r>
      <w:r>
        <w:t xml:space="preserve"> </w:t>
      </w:r>
      <w:r>
        <w:t xml:space="preserve">(platform side), the review mechanisms of all platforms focused solely on functional feasibility (</w:t>
      </w:r>
      <w:r>
        <w:t xml:space="preserve">“what it can do”</w:t>
      </w:r>
      <w:r>
        <w:t xml:space="preserve">), without incorporating consequence-of-action assessment (</w:t>
      </w:r>
      <w:r>
        <w:t xml:space="preserve">“what happens after execution”</w:t>
      </w:r>
      <w:r>
        <w:t xml:space="preserve">) into review criteria, rendering the</w:t>
      </w:r>
      <w:r>
        <w:t xml:space="preserve"> </w:t>
      </w:r>
      <w:r>
        <w:t xml:space="preserve">“gatekeeping”</w:t>
      </w:r>
      <w:r>
        <w:t xml:space="preserve"> </w:t>
      </w:r>
      <w:r>
        <w:t xml:space="preserve">function (Zhang, 2022) substantively ineffective. At the</w:t>
      </w:r>
      <w:r>
        <w:t xml:space="preserve"> </w:t>
      </w:r>
      <w:r>
        <w:rPr>
          <w:b/>
          <w:bCs/>
        </w:rPr>
        <w:t xml:space="preserve">use node</w:t>
      </w:r>
      <w:r>
        <w:t xml:space="preserve"> </w:t>
      </w:r>
      <w:r>
        <w:t xml:space="preserve">(runtime), all skills across the five platforms adopted a</w:t>
      </w:r>
      <w:r>
        <w:t xml:space="preserve"> </w:t>
      </w:r>
      <w:r>
        <w:t xml:space="preserve">“silent execution”</w:t>
      </w:r>
      <w:r>
        <w:t xml:space="preserve"> </w:t>
      </w:r>
      <w:r>
        <w:t xml:space="preserve">mode, with transparency, explainability, accountability, and auditability under Wieringa’s (2020) four-dimensional framework being entirely absent. At the</w:t>
      </w:r>
      <w:r>
        <w:t xml:space="preserve"> </w:t>
      </w:r>
      <w:r>
        <w:rPr>
          <w:b/>
          <w:bCs/>
        </w:rPr>
        <w:t xml:space="preserve">impact node</w:t>
      </w:r>
      <w:r>
        <w:t xml:space="preserve"> </w:t>
      </w:r>
      <w:r>
        <w:t xml:space="preserve">(user system side), users were neither able to ascertain the permission scope of skills nor receive adequate risk warnings prior to skill execution—the gap between</w:t>
      </w:r>
      <w:r>
        <w:t xml:space="preserve"> </w:t>
      </w:r>
      <w:r>
        <w:t xml:space="preserve">“visibility”</w:t>
      </w:r>
      <w:r>
        <w:t xml:space="preserve"> </w:t>
      </w:r>
      <w:r>
        <w:t xml:space="preserve">and</w:t>
      </w:r>
      <w:r>
        <w:t xml:space="preserve"> </w:t>
      </w:r>
      <w:r>
        <w:t xml:space="preserve">“comprehensibility”</w:t>
      </w:r>
      <w:r>
        <w:t xml:space="preserve"> </w:t>
      </w:r>
      <w:r>
        <w:t xml:space="preserve">revealed by Ananny (2018) has been amply validated within the skill ecosystem.</w:t>
      </w:r>
    </w:p>
    <w:p>
      <w:pPr>
        <w:pStyle w:val="BodyText"/>
      </w:pPr>
      <w:r>
        <w:t xml:space="preserve">A key theoretical insight from the cross-platform data lies in the following observation: the significant differences across the five platforms in terms of technical architecture, business model, and user base did not result in differences in governance levels. Despite following distinct technical trajectories and business strategies, the five platforms—Zhipu Z.AI (AI-native enterprise), Coze (internet giant’s developer platform), WorkBuddy (internet giant’s end-user product), Claude Skills (international AI enterprise skill ecosystem), and OpenClaw/ClawHub (open-source community skill platform)—exhibited near-perfect convergence in audit results under Wieringa’s (2020) four-dimensional framework. From the governance lag perspective, this pattern of</w:t>
      </w:r>
      <w:r>
        <w:t xml:space="preserve"> </w:t>
      </w:r>
      <w:r>
        <w:t xml:space="preserve">“convergent results under divergent contexts”</w:t>
      </w:r>
      <w:r>
        <w:t xml:space="preserve"> </w:t>
      </w:r>
      <w:r>
        <w:t xml:space="preserve">admits a direct causal explanation: the convergence across the five platforms is not attributable to mutual imitation or common institutional pressures, but rather to the fact that they</w:t>
      </w:r>
      <w:r>
        <w:t xml:space="preserve"> </w:t>
      </w:r>
      <w:r>
        <w:rPr>
          <w:b/>
          <w:bCs/>
        </w:rPr>
        <w:t xml:space="preserve">share a common underlying specification</w:t>
      </w:r>
      <w:r>
        <w:t xml:space="preserve"> </w:t>
      </w:r>
      <w:r>
        <w:t xml:space="preserve">(AgentSkills.io) and all face the same</w:t>
      </w:r>
      <w:r>
        <w:t xml:space="preserve"> </w:t>
      </w:r>
      <w:r>
        <w:rPr>
          <w:b/>
          <w:bCs/>
        </w:rPr>
        <w:t xml:space="preserve">governance lag</w:t>
      </w:r>
      <w:r>
        <w:t xml:space="preserve">. The AgentSkills.io specification defines what can be described (functional interfaces), which in turn determines what cannot be governed (governance interfaces)—when a specification itself does not include governance fields, all platforms built upon that specification will naturally lack governance capabilities.</w:t>
      </w:r>
    </w:p>
    <w:p>
      <w:pPr>
        <w:pStyle w:val="BodyText"/>
      </w:pPr>
      <w:r>
        <w:rPr>
          <w:b/>
          <w:bCs/>
        </w:rPr>
        <w:t xml:space="preserve">Causal tracing at the specification level.</w:t>
      </w:r>
      <w:r>
        <w:t xml:space="preserve"> </w:t>
      </w:r>
      <w:r>
        <w:t xml:space="preserve">An important finding from the extended audit is that four of the five platforms explicitly build their skill ecosystems based on the AgentSkills.io specification (Claude Skills and OpenClaw directly adopt the specification, WorkBuddy is fully compatible with the OpenClaw skill system, and Zhipu Z.AI follows the specification). This shared specification basis provides a structural explanation for the consistency of cross-platform governance absence: when the underlying specification itself does not contain governance interfaces, platforms and skills built upon it will naturally lack governance capabilities. This further reinforces the central thesis of this paper—the root cause of the responsibility vacuum lies not in implementation oversights at the platform level, but in design omissions at the specification level. In other words, this is not a matter of</w:t>
      </w:r>
      <w:r>
        <w:t xml:space="preserve"> </w:t>
      </w:r>
      <w:r>
        <w:t xml:space="preserve">“platforms not doing enough,”</w:t>
      </w:r>
      <w:r>
        <w:t xml:space="preserve"> </w:t>
      </w:r>
      <w:r>
        <w:t xml:space="preserve">but rather that</w:t>
      </w:r>
      <w:r>
        <w:t xml:space="preserve"> </w:t>
      </w:r>
      <w:r>
        <w:t xml:space="preserve">“the standard never required it in the first place.”</w:t>
      </w:r>
      <w:r>
        <w:t xml:space="preserve"> </w:t>
      </w:r>
      <w:r>
        <w:t xml:space="preserve">However, it is important to acknowledge that the specification-level analysis alone does not rule out alternative contributing factors. The platform business models, market pressures favouring speed over safety, and the current absence of regulatory requirements specifically targeting agent skill governance may independently sustain the vacuum even if the specification were amended. The structural incentive analysis in Section 3.2 highlights that the collective action problem and the absence of an independent multi-stakeholder governance body for the specification are themselves significant barriers to change. The R-Skills proposal therefore represents a necessary but not sufficient condition for closing the responsibility vacuum; effective governance will ultimately require complementary measures addressing the institutional and incentive dimensions alongside the technical specification.</w:t>
      </w:r>
    </w:p>
    <w:bookmarkEnd w:id="51"/>
    <w:bookmarkStart w:id="52" w:name="X301c6cc299b9dada0ec53bf7cf786bce579fb76"/>
    <w:p>
      <w:pPr>
        <w:pStyle w:val="Heading3"/>
      </w:pPr>
      <w:r>
        <w:t xml:space="preserve">5.2 Key Tensions in Governance Mechanism Design</w:t>
      </w:r>
    </w:p>
    <w:p>
      <w:pPr>
        <w:pStyle w:val="FirstParagraph"/>
      </w:pPr>
      <w:r>
        <w:t xml:space="preserve">The design process of the Responsibility Shield prototype revealed several key tensions in the governance of agentic skills, which constitute the core of the theoretical contribution:</w:t>
      </w:r>
    </w:p>
    <w:p>
      <w:pPr>
        <w:pStyle w:val="BodyText"/>
      </w:pPr>
      <w:r>
        <w:rPr>
          <w:b/>
          <w:bCs/>
        </w:rPr>
        <w:t xml:space="preserve">Tension One: The trade-off between autonomy and controllability.</w:t>
      </w:r>
      <w:r>
        <w:t xml:space="preserve"> </w:t>
      </w:r>
      <w:r>
        <w:t xml:space="preserve">The core value of agents lies in their autonomous decision-making capability (Wang et al., 2024), whereas governance mechanisms inherently constrain autonomy. The</w:t>
      </w:r>
      <w:r>
        <w:t xml:space="preserve"> </w:t>
      </w:r>
      <w:r>
        <w:t xml:space="preserve">“wrapping”</w:t>
      </w:r>
      <w:r>
        <w:t xml:space="preserve"> </w:t>
      </w:r>
      <w:r>
        <w:t xml:space="preserve">strategy adopted by the Responsibility Shield—appending a governance layer to the exterior of skills rather than modifying their internal logic—represents a design response to this tension. However, the effectiveness of this strategy depends on a critical prerequisite: the invocation priority of the governance layer must be higher than that of the wrapped skill. In most current agent frameworks, the technical guarantee for this prerequisite is not clearly established.</w:t>
      </w:r>
    </w:p>
    <w:p>
      <w:pPr>
        <w:pStyle w:val="BodyText"/>
      </w:pPr>
      <w:r>
        <w:rPr>
          <w:b/>
          <w:bCs/>
        </w:rPr>
        <w:t xml:space="preserve">Tension Two: The trade-off between audit granularity and computational efficiency.</w:t>
      </w:r>
      <w:r>
        <w:t xml:space="preserve"> </w:t>
      </w:r>
      <w:r>
        <w:t xml:space="preserve">Detailed audit logs provide a more robust foundation for accountability, but also introduce significant storage and computational overhead. The audit chain design in this paper adopts SHA256 hash digests rather than full content storage, which mitigates this tension to some extent. However, the choice of audit granularity is inherently a context-dependent trade-off decision—high-impact operations (such as system deployments) require fine-grained auditing, whereas low-impact operations (such as information queries) may necessitate only coarse-grained recording. The</w:t>
      </w:r>
      <w:r>
        <w:t xml:space="preserve"> </w:t>
      </w:r>
      <w:r>
        <w:t xml:space="preserve">“auditability”</w:t>
      </w:r>
      <w:r>
        <w:t xml:space="preserve"> </w:t>
      </w:r>
      <w:r>
        <w:t xml:space="preserve">dimension proposed by Wieringa (2020) needs to be contextually redefined here.</w:t>
      </w:r>
    </w:p>
    <w:p>
      <w:pPr>
        <w:pStyle w:val="BodyText"/>
      </w:pPr>
      <w:r>
        <w:rPr>
          <w:b/>
          <w:bCs/>
        </w:rPr>
        <w:t xml:space="preserve">Tension Three: The chasm between natural language description and formal verification.</w:t>
      </w:r>
      <w:r>
        <w:t xml:space="preserve"> </w:t>
      </w:r>
      <w:r>
        <w:t xml:space="preserve">The capability boundaries of agentic skills are primarily articulated through natural language descriptions (i.e., skill prompts), which poses fundamental challenges for formal behavioural verification. The pre-check phase of the Responsibility Shield can only conduct simplified impact assessments based on skill categories, without the ability to precisely predict a skill’s actual behaviour in specific contexts. This chasm reflects the contemporary extension of the fundamental tension between</w:t>
      </w:r>
      <w:r>
        <w:t xml:space="preserve"> </w:t>
      </w:r>
      <w:r>
        <w:t xml:space="preserve">“plans and situated actions”</w:t>
      </w:r>
      <w:r>
        <w:t xml:space="preserve"> </w:t>
      </w:r>
      <w:r>
        <w:t xml:space="preserve">revealed by Suchman (2007) within the AI agent context.</w:t>
      </w:r>
    </w:p>
    <w:p>
      <w:pPr>
        <w:pStyle w:val="BodyText"/>
      </w:pPr>
      <w:r>
        <w:rPr>
          <w:b/>
          <w:bCs/>
        </w:rPr>
        <w:t xml:space="preserve">Tension Four: Technical design versus institutional embeddedness.</w:t>
      </w:r>
      <w:r>
        <w:t xml:space="preserve"> </w:t>
      </w:r>
      <w:r>
        <w:t xml:space="preserve">The Responsibility Shield and R-Skills standard represent a technically oriented governance intervention—a specification-level design that defines governance interfaces and processes. However, the structural incentive analysis in Section 3.2 reveals that the responsibility vacuum is sustained not merely by technical gaps but by institutional dynamics: platform growth incentives, collective action problems, and the absence of an independent governance body for the specification. A governance standard, however well-designed technically, carries no enforcement power without institutional mechanisms for adoption, compliance verification, and accountability. The tension between technical design and institutional embeddedness mirrors the broader debate in responsible AI between</w:t>
      </w:r>
      <w:r>
        <w:t xml:space="preserve"> </w:t>
      </w:r>
      <w:r>
        <w:t xml:space="preserve">“principles-to-practice”</w:t>
      </w:r>
      <w:r>
        <w:t xml:space="preserve"> </w:t>
      </w:r>
      <w:r>
        <w:t xml:space="preserve">gaps (Rakova et al., 2021) and the critique that governance frameworks can create a</w:t>
      </w:r>
      <w:r>
        <w:t xml:space="preserve"> </w:t>
      </w:r>
      <w:r>
        <w:t xml:space="preserve">“false sense of security”</w:t>
      </w:r>
      <w:r>
        <w:t xml:space="preserve"> </w:t>
      </w:r>
      <w:r>
        <w:t xml:space="preserve">(Mikalef, 2022) when they lack robust enforcement infrastructure. The R-Skills proposal acknowledges this tension by positioning itself as a technical</w:t>
      </w:r>
      <w:r>
        <w:t xml:space="preserve"> </w:t>
      </w:r>
      <w:r>
        <w:rPr>
          <w:i/>
          <w:iCs/>
        </w:rPr>
        <w:t xml:space="preserve">enabler</w:t>
      </w:r>
      <w:r>
        <w:t xml:space="preserve"> </w:t>
      </w:r>
      <w:r>
        <w:t xml:space="preserve">rather than a complete governance solution—providing the specification-level foundation upon which institutional and regulatory measures can build, but not substituting for them.</w:t>
      </w:r>
    </w:p>
    <w:bookmarkEnd w:id="52"/>
    <w:bookmarkStart w:id="53" w:name="X5fd8c3a1cd1615efcb121952d48705f4bd9efe6"/>
    <w:p>
      <w:pPr>
        <w:pStyle w:val="Heading3"/>
      </w:pPr>
      <w:r>
        <w:t xml:space="preserve">5.3 Empirical Implications for Governance Lag Theory</w:t>
      </w:r>
    </w:p>
    <w:p>
      <w:pPr>
        <w:pStyle w:val="FirstParagraph"/>
      </w:pPr>
      <w:r>
        <w:t xml:space="preserve">The findings of this study offer insights warranting further reflection for technology governance lag theory and anticipatory governance research:</w:t>
      </w:r>
    </w:p>
    <w:p>
      <w:pPr>
        <w:pStyle w:val="BodyText"/>
      </w:pPr>
      <w:r>
        <w:rPr>
          <w:b/>
          <w:bCs/>
        </w:rPr>
        <w:t xml:space="preserve">Implications for governance lag theory: the quantification and typology of lag.</w:t>
      </w:r>
      <w:r>
        <w:t xml:space="preserve"> </w:t>
      </w:r>
      <w:r>
        <w:t xml:space="preserve">Marchant et al. (2011) proposed the concept of governance lag but did not provide a systematic approach to lag quantification. Through cross-platform auditing and specification structure analysis, this paper offers a preliminary framework for the quantification of governance lag: standard-setting lag (from specification publication to the identification of missing governance fields), ecosystem expansion lag (the growth cycle from zero to thousands of skills), and security response lag (the interval from the first security incident to an effective governance response). The further refinement of this quantitative framework requires investment in subsequent research—for example, measuring the deployment time and effect lag of different governance interventions through longitudinal tracking studies. It should be noted that the governance lag explanation, whilst providing a compelling structural account, does not exhaust all possible causal factors. The absence of regulatory requirements specifically targeting agent skill governance, the competitive dynamics of platform markets that may disincentivise unilateral governance investment, and the relative recency of the skill paradigm all contribute to the observed vacuum. The structural incentive analysis in Section 3.2 suggests that these factors are not independent alternatives to the governance lag explanation but rather interact with and reinforce it—platforms face little regulatory pressure to invest in governance precisely because the governance lag has created a temporal window in which the absence of regulation appears normative.</w:t>
      </w:r>
    </w:p>
    <w:p>
      <w:pPr>
        <w:pStyle w:val="BodyText"/>
      </w:pPr>
      <w:r>
        <w:rPr>
          <w:b/>
          <w:bCs/>
        </w:rPr>
        <w:t xml:space="preserve">Implications for the Collingridge Dilemma: the operability of anticipatory governance.</w:t>
      </w:r>
      <w:r>
        <w:t xml:space="preserve"> </w:t>
      </w:r>
      <w:r>
        <w:t xml:space="preserve">The Collingridge Dilemma (Collingridge, 1980) identifies a fundamental dilemma of technology control, but offers limited guidance on how to take effective action during the window between</w:t>
      </w:r>
      <w:r>
        <w:t xml:space="preserve"> </w:t>
      </w:r>
      <w:r>
        <w:t xml:space="preserve">“early malleability with unknown consequences”</w:t>
      </w:r>
      <w:r>
        <w:t xml:space="preserve"> </w:t>
      </w:r>
      <w:r>
        <w:t xml:space="preserve">and</w:t>
      </w:r>
      <w:r>
        <w:t xml:space="preserve"> </w:t>
      </w:r>
      <w:r>
        <w:t xml:space="preserve">“late knowledge with irreversibility.”</w:t>
      </w:r>
      <w:r>
        <w:t xml:space="preserve"> </w:t>
      </w:r>
      <w:r>
        <w:t xml:space="preserve">The R-Skills standard design in this paper—by adding a backward-compatible GOVERNANCE.md governance layer to the AgentSkills.io specification—demonstrates a technical pathway for anticipatory intervention at the</w:t>
      </w:r>
      <w:r>
        <w:t xml:space="preserve"> </w:t>
      </w:r>
      <w:r>
        <w:t xml:space="preserve">“turning point”</w:t>
      </w:r>
      <w:r>
        <w:t xml:space="preserve"> </w:t>
      </w:r>
      <w:r>
        <w:t xml:space="preserve">of the Collingridge Dilemma. However, whether this intervention can be widely adopted by ecosystem participants (developers, platform operators, standard setters) depends on whether the governance mechanism can deliver perceptible security value without significantly increasing development costs—this constitutes an important agenda item for subsequent empirical research.</w:t>
      </w:r>
    </w:p>
    <w:p>
      <w:pPr>
        <w:pStyle w:val="BodyText"/>
      </w:pPr>
      <w:r>
        <w:rPr>
          <w:b/>
          <w:bCs/>
        </w:rPr>
        <w:t xml:space="preserve">Implications for anticipatory governance theory: the pro-active design of governance interfaces.</w:t>
      </w:r>
      <w:r>
        <w:t xml:space="preserve"> </w:t>
      </w:r>
      <w:r>
        <w:t xml:space="preserve">Guston’s (2014) anticipatory governance theory emphasises embedding governance mechanisms at the early stages of technology development. The findings of this paper provide a concrete technical implementation direction for this proposition: governance should not be appended to the exterior of skills (such as platform-level reviews), but rather embedded within the standard interfaces of skills (such as governance fields in the AgentSkills.io specification). When governance interfaces become part of the standard, every new skill inherently incorporates governance capabilities from the moment of its creation, thereby fundamentally narrowing the governance lag.</w:t>
      </w:r>
    </w:p>
    <w:p>
      <w:pPr>
        <w:pStyle w:val="BodyText"/>
      </w:pPr>
      <w:r>
        <w:rPr>
          <w:b/>
          <w:bCs/>
        </w:rPr>
        <w:t xml:space="preserve">Implications for algorithmic accountability frameworks: new dimensions of accountability in dynamic ecosystems.</w:t>
      </w:r>
      <w:r>
        <w:t xml:space="preserve"> </w:t>
      </w:r>
      <w:r>
        <w:t xml:space="preserve">Wieringa’s (2020) four-dimensional framework provides an effective accountability analysis tool for static, centralised algorithmic systems. However, in the dynamic, decentralised context of the agentic skill ecosystem, the audit findings of this paper indicate that the four dimensions require further contextualisation. In particular, traditional algorithmic accountability frameworks assume that the audit target is a clearly defined, well-bounded algorithmic system, whereas the audit target within the skill ecosystem is a dynamic network composed of thousands of skills, multiple platforms, and countless user interactions—accountability within this network must extend beyond the individual skill level to encompass systemic accountability at the level of skill compositions, cross-platform invocations, and supply chains.</w:t>
      </w:r>
    </w:p>
    <w:p>
      <w:r>
        <w:pict>
          <v:rect style="width:0;height:1.5pt" o:hralign="center" o:hrstd="t" o:hr="t"/>
        </w:pict>
      </w:r>
    </w:p>
    <w:bookmarkEnd w:id="53"/>
    <w:bookmarkEnd w:id="54"/>
    <w:bookmarkStart w:id="57" w:name="X417e83f863f778505c3403f48d06676dcd2d31f"/>
    <w:p>
      <w:pPr>
        <w:pStyle w:val="Heading2"/>
      </w:pPr>
      <w:r>
        <w:t xml:space="preserve">6. Discussion: Open Questions and a Research Agenda</w:t>
      </w:r>
    </w:p>
    <w:bookmarkStart w:id="55" w:name="open-questions"/>
    <w:p>
      <w:pPr>
        <w:pStyle w:val="Heading3"/>
      </w:pPr>
      <w:r>
        <w:t xml:space="preserve">6.1 Open Questions</w:t>
      </w:r>
    </w:p>
    <w:p>
      <w:pPr>
        <w:pStyle w:val="FirstParagraph"/>
      </w:pPr>
      <w:r>
        <w:t xml:space="preserve">Building upon the theoretical analysis and exploratory design presented in this paper, we propose the following open questions worthy of further academic inquiry:</w:t>
      </w:r>
    </w:p>
    <w:p>
      <w:pPr>
        <w:pStyle w:val="BodyText"/>
      </w:pPr>
      <w:r>
        <w:rPr>
          <w:b/>
          <w:bCs/>
        </w:rPr>
        <w:t xml:space="preserve">Question One: How can governance lag be quantified and early warning mechanisms established?</w:t>
      </w:r>
      <w:r>
        <w:t xml:space="preserve"> </w:t>
      </w:r>
      <w:r>
        <w:t xml:space="preserve">This paper has preliminarily proposed three quantitative dimensions—standard-setting lag, ecosystem expansion lag, and security response lag—but more precise lag measurement models remain to be developed. Is there a</w:t>
      </w:r>
      <w:r>
        <w:t xml:space="preserve"> </w:t>
      </w:r>
      <w:r>
        <w:t xml:space="preserve">“governance lag threshold”</w:t>
      </w:r>
      <w:r>
        <w:t xml:space="preserve"> </w:t>
      </w:r>
      <w:r>
        <w:t xml:space="preserve">beyond which the governance vacuum irreversibly translates into systemic security incidents? If so, how can lag early warning mechanisms be established for different types of AI technology ecosystems? This question is directly related to the governance lag theory of Marchant et al. (2011) but requires further empirical validation.</w:t>
      </w:r>
    </w:p>
    <w:p>
      <w:pPr>
        <w:pStyle w:val="BodyText"/>
      </w:pPr>
      <w:r>
        <w:rPr>
          <w:b/>
          <w:bCs/>
        </w:rPr>
        <w:t xml:space="preserve">Question Two: How can the optimal intervention timing under the Collingridge Dilemma be determined?</w:t>
      </w:r>
      <w:r>
        <w:t xml:space="preserve"> </w:t>
      </w:r>
      <w:r>
        <w:t xml:space="preserve">This paper identifies that the current skill ecosystem is at the</w:t>
      </w:r>
      <w:r>
        <w:t xml:space="preserve"> </w:t>
      </w:r>
      <w:r>
        <w:t xml:space="preserve">“turning point”</w:t>
      </w:r>
      <w:r>
        <w:t xml:space="preserve"> </w:t>
      </w:r>
      <w:r>
        <w:t xml:space="preserve">of the Collingridge Dilemma, but lacks quantitative estimation of the precise boundaries of this time window. Subsequent research could model and predict the specific timing of the</w:t>
      </w:r>
      <w:r>
        <w:t xml:space="preserve"> </w:t>
      </w:r>
      <w:r>
        <w:t xml:space="preserve">“technology lock-in point”</w:t>
      </w:r>
      <w:r>
        <w:t xml:space="preserve"> </w:t>
      </w:r>
      <w:r>
        <w:t xml:space="preserve">through longitudinal tracking of the AgentSkills.io standard’s adoption curve and the skill ecosystem’s growth curve. This research possesses not only academic value but also urgent policy significance—if a</w:t>
      </w:r>
      <w:r>
        <w:t xml:space="preserve"> </w:t>
      </w:r>
      <w:r>
        <w:t xml:space="preserve">“deadline for governance intervention”</w:t>
      </w:r>
      <w:r>
        <w:t xml:space="preserve"> </w:t>
      </w:r>
      <w:r>
        <w:t xml:space="preserve">could be provided to standard setters, it would directly empower anticipatory governance decision-making.</w:t>
      </w:r>
    </w:p>
    <w:p>
      <w:pPr>
        <w:pStyle w:val="BodyText"/>
      </w:pPr>
      <w:r>
        <w:rPr>
          <w:b/>
          <w:bCs/>
        </w:rPr>
        <w:t xml:space="preserve">Question Three: Will the pro-active design of governance interfaces produce a</w:t>
      </w:r>
      <w:r>
        <w:rPr>
          <w:b/>
          <w:bCs/>
        </w:rPr>
        <w:t xml:space="preserve"> </w:t>
      </w:r>
      <w:r>
        <w:rPr>
          <w:b/>
          <w:bCs/>
        </w:rPr>
        <w:t xml:space="preserve">“chilling effect”</w:t>
      </w:r>
      <w:r>
        <w:rPr>
          <w:b/>
          <w:bCs/>
        </w:rPr>
        <w:t xml:space="preserve"> </w:t>
      </w:r>
      <w:r>
        <w:rPr>
          <w:b/>
          <w:bCs/>
        </w:rPr>
        <w:t xml:space="preserve">on innovation?</w:t>
      </w:r>
      <w:r>
        <w:t xml:space="preserve"> </w:t>
      </w:r>
      <w:r>
        <w:t xml:space="preserve">Guston’s (2014) anticipatory governance theory confronts a fundamental tension: overly early and overly strict governance may stifle technological innovation. If the AgentSkills.io specification had required governance fields from day one, would developers have reduced skill development due to increased governance costs? Is there an optimal balance point between the vitality of the skill ecosystem and the stringency of governance? This question warrants deeper theoretical engagement than is possible within the scope of this paper, but several observations can be offered. First, the</w:t>
      </w:r>
      <w:r>
        <w:t xml:space="preserve"> </w:t>
      </w:r>
      <w:r>
        <w:t xml:space="preserve">“progressive enhancement”</w:t>
      </w:r>
      <w:r>
        <w:t xml:space="preserve"> </w:t>
      </w:r>
      <w:r>
        <w:t xml:space="preserve">design philosophy of the R-Skills standard—where governance fields are optional and additive rather than mandatory—represents an explicit attempt to minimise friction: developers who wish to create simple, low-risk skills can do so without engaging with the governance layer, whilst developers of high-risk skills (e.g., email sending, file system operations) are incentivised to provide governance information to gain platform trust and user confidence. Second, the experience of traditional software ecosystems provides instructive parallels: the introduction of semantic versioning (SemVer) did not stifle npm package development but rather improved ecosystem health by enabling dependency management; similarly, the introduction of package.json licensing fields did not suppress package creation but facilitated informed consumption decisions. Third, the chilling effect is itself bounded by the Collingridge Dilemma: the cost of early-stage governance is lower precisely because the ecosystem is still small and malleable. The risk of chilling effect is inversely related to ecosystem size—meaning that the current narrow window for intervention, paradoxically, is also the window in which governance is least likely to cause harm. Nevertheless, empirical validation of these propositions—through controlled experiments comparing developer behaviour under different governance regimes—remains an important research agenda item.</w:t>
      </w:r>
    </w:p>
    <w:p>
      <w:pPr>
        <w:pStyle w:val="BodyText"/>
      </w:pPr>
      <w:r>
        <w:rPr>
          <w:b/>
          <w:bCs/>
        </w:rPr>
        <w:t xml:space="preserve">Question Four: How can a dynamic risk assessment model for the skill supply chain be constructed?</w:t>
      </w:r>
      <w:r>
        <w:t xml:space="preserve"> </w:t>
      </w:r>
      <w:r>
        <w:t xml:space="preserve">Current risk assessment of skills is primarily based on static functional category classification (e.g.,</w:t>
      </w:r>
      <w:r>
        <w:t xml:space="preserve"> </w:t>
      </w:r>
      <w:r>
        <w:t xml:space="preserve">“email sending = high risk”</w:t>
      </w:r>
      <w:r>
        <w:t xml:space="preserve">). However, the compositional use of skills may generate emergent risks that individual skill risk assessments cannot predict. How to construct a dynamic, dependency-graph-based risk propagation model for skills—akin to dependency risk analysis in the software supply chain (such as npm audit and Snyk)—is an important technical question for skill ecosystem governance.</w:t>
      </w:r>
    </w:p>
    <w:p>
      <w:pPr>
        <w:pStyle w:val="BodyText"/>
      </w:pPr>
      <w:r>
        <w:rPr>
          <w:b/>
          <w:bCs/>
        </w:rPr>
        <w:t xml:space="preserve">Question Five: How can governance interoperability across platform skill ecosystems be achieved?</w:t>
      </w:r>
      <w:r>
        <w:t xml:space="preserve"> </w:t>
      </w:r>
      <w:r>
        <w:t xml:space="preserve">Different AI agent platforms may currently adopt different skill specifications and governance standards. The R-Skills standard, as a backward-compatible extension of AgentSkills.io, can in principle be seamlessly deployed on platforms that have adopted the AgentSkills.io specification. However, on platforms that have not adopted this specification (such as the proprietary specification extensions of Coze and WorkBuddy), governance interoperability will face technical challenges.</w:t>
      </w:r>
    </w:p>
    <w:bookmarkEnd w:id="55"/>
    <w:bookmarkStart w:id="56" w:name="research-agenda"/>
    <w:p>
      <w:pPr>
        <w:pStyle w:val="Heading3"/>
      </w:pPr>
      <w:r>
        <w:t xml:space="preserve">6.2 Research Agenda</w:t>
      </w:r>
    </w:p>
    <w:p>
      <w:pPr>
        <w:pStyle w:val="FirstParagraph"/>
      </w:pPr>
      <w:r>
        <w:t xml:space="preserve">Building upon the above open questions, this paper proposes the following anticipatory governance research agenda:</w:t>
      </w:r>
    </w:p>
    <w:p>
      <w:pPr>
        <w:pStyle w:val="BodyText"/>
      </w:pPr>
      <w:r>
        <w:rPr>
          <w:b/>
          <w:bCs/>
        </w:rPr>
        <w:t xml:space="preserve">Agenda One: Longitudinal tracking studies of governance lag.</w:t>
      </w:r>
      <w:r>
        <w:t xml:space="preserve"> </w:t>
      </w:r>
      <w:r>
        <w:t xml:space="preserve">Using the AgentSkills.io standard as a case study, longitudinally track the entire process from specification publication to governance response, quantifying the specific values of standard-setting lag, ecosystem expansion lag, and security response lag. Compare governance lag differences across different AI technology ecosystems (such as the skill ecosystem, the MCP server ecosystem, and the AI Agent framework ecosystem), identifying key factors that influence lag duration.</w:t>
      </w:r>
    </w:p>
    <w:p>
      <w:pPr>
        <w:pStyle w:val="BodyText"/>
      </w:pPr>
      <w:r>
        <w:rPr>
          <w:b/>
          <w:bCs/>
        </w:rPr>
        <w:t xml:space="preserve">Agenda Two: Anticipatory intervention experiments under the Collingridge Dilemma.</w:t>
      </w:r>
      <w:r>
        <w:t xml:space="preserve"> </w:t>
      </w:r>
      <w:r>
        <w:t xml:space="preserve">Design controlled experiments comparing the impact of different governance intervention timings (embedding before specification publication vs. supplementing after specification publication vs. mandating after security incidents) on the healthy development of the skill ecosystem. Such experiments could be implemented using simulated environments or sandbox platforms, providing empirical evidence for timing decisions by standard setters.</w:t>
      </w:r>
    </w:p>
    <w:p>
      <w:pPr>
        <w:pStyle w:val="BodyText"/>
      </w:pPr>
      <w:r>
        <w:rPr>
          <w:b/>
          <w:bCs/>
        </w:rPr>
        <w:t xml:space="preserve">Agenda Three: Dynamic risk propagation modelling for the skill supply chain.</w:t>
      </w:r>
      <w:r>
        <w:t xml:space="preserve"> </w:t>
      </w:r>
      <w:r>
        <w:t xml:space="preserve">Based on skill dependency graphs, construct risk propagation models for skills. Drawing upon attack path analysis methods from the cybersecurity domain, identify the shortest risk propagation paths from high-risk skills to user system impacts, providing a quantitative basis for the prioritised allocation of governance resources.</w:t>
      </w:r>
    </w:p>
    <w:p>
      <w:pPr>
        <w:pStyle w:val="BodyText"/>
      </w:pPr>
      <w:r>
        <w:rPr>
          <w:b/>
          <w:bCs/>
        </w:rPr>
        <w:t xml:space="preserve">Agenda Four: Institutional design research on anticipatory governance.</w:t>
      </w:r>
      <w:r>
        <w:t xml:space="preserve"> </w:t>
      </w:r>
      <w:r>
        <w:t xml:space="preserve">From an institutional theory perspective, investigate how to design incentive-compatible governance mechanisms that enable skill developers, platform operators, and standard setters to voluntarily adopt governance interfaces under self-interested motivations. This research needs to integrate Marchant et al.’s (2011) governance lag theory, Guston’s (2014) anticipatory governance framework, and Veale’s (2018) concept of</w:t>
      </w:r>
      <w:r>
        <w:t xml:space="preserve"> </w:t>
      </w:r>
      <w:r>
        <w:t xml:space="preserve">“accountability by design.”</w:t>
      </w:r>
    </w:p>
    <w:p>
      <w:pPr>
        <w:pStyle w:val="BodyText"/>
      </w:pPr>
      <w:r>
        <w:rPr>
          <w:b/>
          <w:bCs/>
        </w:rPr>
        <w:t xml:space="preserve">Agenda Five: Regulatory policy research on skill responsibility governance.</w:t>
      </w:r>
      <w:r>
        <w:t xml:space="preserve"> </w:t>
      </w:r>
      <w:r>
        <w:t xml:space="preserve">With the rapid expansion of AI agent skill ecosystems, regulators face the challenge of safeguarding public interest without stifling innovation. Subsequent research should analyse the applicability of existing AI regulations (such as the EU AI Act and China’s</w:t>
      </w:r>
      <w:r>
        <w:t xml:space="preserve"> </w:t>
      </w:r>
      <w:r>
        <w:rPr>
          <w:i/>
          <w:iCs/>
        </w:rPr>
        <w:t xml:space="preserve">Interim Measures for the Management of Generative AI Services</w:t>
      </w:r>
      <w:r>
        <w:t xml:space="preserve">) to the agentic skill ecosystem, and explore the design of anticipatory regulatory frameworks. Veale’s (2018) research on fairness and accountability design needs in high-stakes decision-making scenarios provides an important institutional design reference for this endeavour.</w:t>
      </w:r>
    </w:p>
    <w:p>
      <w:r>
        <w:pict>
          <v:rect style="width:0;height:1.5pt" o:hralign="center" o:hrstd="t" o:hr="t"/>
        </w:pict>
      </w:r>
    </w:p>
    <w:bookmarkEnd w:id="56"/>
    <w:bookmarkEnd w:id="57"/>
    <w:bookmarkStart w:id="58" w:name="conclusion"/>
    <w:p>
      <w:pPr>
        <w:pStyle w:val="Heading2"/>
      </w:pPr>
      <w:r>
        <w:t xml:space="preserve">7. Conclusion</w:t>
      </w:r>
    </w:p>
    <w:p>
      <w:pPr>
        <w:pStyle w:val="FirstParagraph"/>
      </w:pPr>
      <w:r>
        <w:t xml:space="preserve">This paper presents a systematic analysis of 2,600+ skills across five mainstream agent platforms—Zhipu Z.AI (55 default skills), Coze (39 platform skills), WorkBuddy (62 skills), Claude Skills ecosystem (2,000+ skills), and OpenClaw/ClawHub (500+ skills)—through cross-platform auditing. The audit results reveal a consistent and alarming finding: the governance absence rate across all platforms under Wieringa’s (2020) four-dimensional accountability framework approaches or reaches 100%—transparency, explainability, accountability, and auditability exhibit systemic absence across all audited skills. The actual attack incidents documented in the official security report published by the Hong Kong Computer Emergency Response Team Coordination Centre (HKCERT) in March 2026—skill supply chain poisoning, fake installers, and high-severity platform vulnerabilities—further confirm that this governance vacuum has evolved from a theoretical risk into a real-world security threat.</w:t>
      </w:r>
    </w:p>
    <w:p>
      <w:pPr>
        <w:pStyle w:val="BodyText"/>
      </w:pPr>
      <w:r>
        <w:t xml:space="preserve">Anchored in the Pacing Problem theory of technology governance lag, this paper reveals the deep causal mechanism underlying the responsibility vacuum: the explosive growth rate of the skill ecosystem far exceeds the speed of governance response, with the interval between the publication of the AgentSkills.io standard (late 2025) and the first security incident report (March 2026) being less than six months, during which the governance response was virtually zero. The Collingridge Dilemma (Collingridge, 1980) further indicates that the current moment represents a critical time window for governance intervention—the standard has not yet been fully locked in, and the embedding of governance interfaces remains feasible, but this window is closing rapidly.</w:t>
      </w:r>
    </w:p>
    <w:p>
      <w:pPr>
        <w:pStyle w:val="BodyText"/>
      </w:pPr>
      <w:r>
        <w:t xml:space="preserve">As a preliminary exploration in design science research, this paper has developed the</w:t>
      </w:r>
      <w:r>
        <w:t xml:space="preserve"> </w:t>
      </w:r>
      <w:r>
        <w:t xml:space="preserve">“Responsibility Shield”</w:t>
      </w:r>
      <w:r>
        <w:t xml:space="preserve"> </w:t>
      </w:r>
      <w:r>
        <w:t xml:space="preserve">meta-skill prototype and the R-Skills governance standard, exploring a technical pathway for embedding responsibility tracing mechanisms into the skill ecosystem in a backward-compatible manner under the temporal constraints of the Collingridge Dilemma. However, this paper explicitly acknowledges the limitations of these exploratory artefacts—they are theoretical provocateurs intended to stimulate academic dialogue, not validated governance solutions.</w:t>
      </w:r>
    </w:p>
    <w:p>
      <w:pPr>
        <w:pStyle w:val="BodyText"/>
      </w:pPr>
      <w:r>
        <w:t xml:space="preserve">The core academic contributions of this paper are as follows: (1) it proposes and systematically defines the concept of</w:t>
      </w:r>
      <w:r>
        <w:t xml:space="preserve"> </w:t>
      </w:r>
      <w:r>
        <w:t xml:space="preserve">“responsibility vacuum in agentic skill ecosystems,”</w:t>
      </w:r>
      <w:r>
        <w:t xml:space="preserve"> </w:t>
      </w:r>
      <w:r>
        <w:t xml:space="preserve">articulating its characteristics across the create-propagate-use lifecycle and situating it within the broader literature on software supply chain governance, API governance, and algorithmic accountability; (2) using governance lag theory as a lens, it reveals the deep causal mechanism of the responsibility vacuum through cross-platform empirical auditing (5 platforms, 2,600+ skills) and AgentSkills.io specification structure analysis—namely, that the pace of technological development far exceeds that of governance response, a lag further amplified by structural incentive misalignments across the stakeholder landscape; (3) it applies the Collingridge Dilemma to governance timing analysis for agentic skill ecosystems, identifying the current critical time window for governance intervention; and (4) it proposes a forward-looking governance research agenda encompassing governance lag quantification, anticipatory intervention experiments, dynamic risk propagation modelling, and regulatory policy design.</w:t>
      </w:r>
    </w:p>
    <w:p>
      <w:pPr>
        <w:pStyle w:val="BodyText"/>
      </w:pPr>
      <w:r>
        <w:t xml:space="preserve">As AI agents transition from laboratory settings to production environments, and from individual tools to skill ecosystems, the academic community urgently needs to accumulate theoretical knowledge and empirical evidence in the domain of agent governance. This paper aspires to provide conceptual foundations and research directions for this important academic frontier—in particular, to offer theoretical grounding and technical pathways for anticipatory governance before the governance lag window closes. We warmly invite our scholarly colleagues to jointly advance this research agenda.</w:t>
      </w:r>
    </w:p>
    <w:p>
      <w:r>
        <w:pict>
          <v:rect style="width:0;height:1.5pt" o:hralign="center" o:hrstd="t" o:hr="t"/>
        </w:pict>
      </w:r>
    </w:p>
    <w:bookmarkEnd w:id="58"/>
    <w:bookmarkStart w:id="63" w:name="research-limitations"/>
    <w:p>
      <w:pPr>
        <w:pStyle w:val="Heading2"/>
      </w:pPr>
      <w:r>
        <w:t xml:space="preserve">8. Research Limitations</w:t>
      </w:r>
    </w:p>
    <w:p>
      <w:pPr>
        <w:pStyle w:val="FirstParagraph"/>
      </w:pPr>
      <w:r>
        <w:t xml:space="preserve">This paper candidly acknowledges the following research limitations, which simultaneously serve as signposts for future research directions:</w:t>
      </w:r>
    </w:p>
    <w:bookmarkStart w:id="59" w:name="methodological-limitations"/>
    <w:p>
      <w:pPr>
        <w:pStyle w:val="Heading3"/>
      </w:pPr>
      <w:r>
        <w:t xml:space="preserve">8.1 Methodological Limitations</w:t>
      </w:r>
    </w:p>
    <w:p>
      <w:pPr>
        <w:pStyle w:val="FirstParagraph"/>
      </w:pPr>
      <w:r>
        <w:rPr>
          <w:b/>
          <w:bCs/>
        </w:rPr>
        <w:t xml:space="preserve">(1) Single-researcher bias and absence of inter-rater reliability.</w:t>
      </w:r>
      <w:r>
        <w:t xml:space="preserve"> </w:t>
      </w:r>
      <w:r>
        <w:t xml:space="preserve">The field observations, audit analyses, prototype design, and evaluation activities in this paper were all conducted by a single researcher. Although participatory design methodology is well justified in DSR research—the researcher’s deep understanding of the problem as a domain expert serves as an important source of design inspiration—a single-researcher perspective is inevitably influenced by personal cognitive frameworks, professional background, and research preferences. The absence of a second independent coder means that inter-rater reliability metrics (such as Cohen’s Kappa or Fleiss’ Kappa) are not available, which limits the extent to which the objectivity and reproducibility of the audit findings can be independently verified. The systematic audit protocol, explicit coding criteria, and iterative review process partially mitigate this limitation, but cannot fully substitute for the methodological rigour that independent replication provides. Subsequent research should mitigate this bias through multi-researcher cross-audits, audit protocol standardisation, and reproducibility checks of audit results.</w:t>
      </w:r>
    </w:p>
    <w:p>
      <w:pPr>
        <w:pStyle w:val="BodyText"/>
      </w:pPr>
      <w:r>
        <w:rPr>
          <w:b/>
          <w:bCs/>
        </w:rPr>
        <w:t xml:space="preserve">(2) Representativeness limitations of the audit sample.</w:t>
      </w:r>
      <w:r>
        <w:t xml:space="preserve"> </w:t>
      </w:r>
      <w:r>
        <w:t xml:space="preserve">Although the audit in this paper covers 2,600+ skills across five platforms, the representativeness of the sample is subject to limitations along several dimensions. First, the three domestic platforms (Zhipu Z.AI, Coze, and WorkBuddy) are all products operating within the Chinese market environment, and their cross-cultural generalisability awaits further validation in different regulatory cultures and technology ecosystems (such as those of Europe, the United States, Japan, and South Korea). Second, the Coze platform audit covers only the 39 pre-installed platform skills, and does not include third-party skills from the Xiaping marketplace (xiaping.coze.site) and the ClawHub skill marketplace, where the governance status of such third-party skills may be more fragile. Third, the audits of the Claude Skills ecosystem (2,000+ skills) and OpenClaw/ClawHub (500+ skills) are based on publicly available information, specification structure analysis, and corroborating inferences from the HKCERT security report, without individual audits of every skill.</w:t>
      </w:r>
    </w:p>
    <w:p>
      <w:pPr>
        <w:pStyle w:val="BodyText"/>
      </w:pPr>
      <w:r>
        <w:rPr>
          <w:b/>
          <w:bCs/>
        </w:rPr>
        <w:t xml:space="preserve">(3) Cross-sectional nature of the audit time window.</w:t>
      </w:r>
      <w:r>
        <w:t xml:space="preserve"> </w:t>
      </w:r>
      <w:r>
        <w:t xml:space="preserve">The audit data in this paper reflect the skill governance status at a specific temporal cross-section (March–June 2026). The skill ecosystem is undergoing rapid evolution, and the governance absence rate at the point of audit may not equal the status at other time points. In particular, platforms may have begun piloting governance mechanisms since this paper’s audit—conversely, new security incidents may also have emerged. Subsequent research should adopt longitudinal tracking designs, conducting periodic repeat audits to capture the dynamic evolution of governance status.</w:t>
      </w:r>
    </w:p>
    <w:bookmarkEnd w:id="59"/>
    <w:bookmarkStart w:id="60" w:name="theoretical-limitations"/>
    <w:p>
      <w:pPr>
        <w:pStyle w:val="Heading3"/>
      </w:pPr>
      <w:r>
        <w:t xml:space="preserve">8.2 Theoretical Limitations</w:t>
      </w:r>
    </w:p>
    <w:p>
      <w:pPr>
        <w:pStyle w:val="FirstParagraph"/>
      </w:pPr>
      <w:r>
        <w:rPr>
          <w:b/>
          <w:bCs/>
        </w:rPr>
        <w:t xml:space="preserve">(1) Considerable deductive elements in the theoretical framework.</w:t>
      </w:r>
      <w:r>
        <w:t xml:space="preserve"> </w:t>
      </w:r>
      <w:r>
        <w:t xml:space="preserve">This paper constructs a three-layer framework of</w:t>
      </w:r>
      <w:r>
        <w:t xml:space="preserve"> </w:t>
      </w:r>
      <w:r>
        <w:t xml:space="preserve">“lag diagnosis—risk characterisation—anticipatory response”</w:t>
      </w:r>
      <w:r>
        <w:t xml:space="preserve"> </w:t>
      </w:r>
      <w:r>
        <w:t xml:space="preserve">centred on governance lag theory, which is logically coherent and empirically supported by the audit data, yet the causal inferences of the framework retain a strongly deductive character. The causal relationship—rather than mere correlational relationship—between governance lag and the responsibility vacuum needs to be tested and validated through more rigorous empirical methods (such as quasi-experimental designs, natural experiments, or simulation modelling). Furthermore, this paper does not provide precise numerical quantification of governance lag (such as</w:t>
      </w:r>
      <w:r>
        <w:t xml:space="preserve"> </w:t>
      </w:r>
      <w:r>
        <w:t xml:space="preserve">“the specific number of months from specification publication to governance response”</w:t>
      </w:r>
      <w:r>
        <w:t xml:space="preserve">), relying instead on qualitative description and ordinal ranking, which to some extent limits the operationalisation precision of the theoretical framework.</w:t>
      </w:r>
    </w:p>
    <w:p>
      <w:pPr>
        <w:pStyle w:val="BodyText"/>
      </w:pPr>
      <w:r>
        <w:rPr>
          <w:b/>
          <w:bCs/>
        </w:rPr>
        <w:t xml:space="preserve">(2) Absence of quantitative benchmarks for identifying the Collingridge Dilemma’s</w:t>
      </w:r>
      <w:r>
        <w:rPr>
          <w:b/>
          <w:bCs/>
        </w:rPr>
        <w:t xml:space="preserve"> </w:t>
      </w:r>
      <w:r>
        <w:rPr>
          <w:b/>
          <w:bCs/>
        </w:rPr>
        <w:t xml:space="preserve">“turning point.”</w:t>
      </w:r>
      <w:r>
        <w:t xml:space="preserve"> </w:t>
      </w:r>
      <w:r>
        <w:t xml:space="preserve">This paper argues that the current skill ecosystem is at a</w:t>
      </w:r>
      <w:r>
        <w:t xml:space="preserve"> </w:t>
      </w:r>
      <w:r>
        <w:t xml:space="preserve">“critical turning point”</w:t>
      </w:r>
      <w:r>
        <w:t xml:space="preserve"> </w:t>
      </w:r>
      <w:r>
        <w:t xml:space="preserve">of the Collingridge Dilemma, but lacks quantitative estimation of the boundaries of this time window. Although the paper provides several qualitative indicators (such as the specification being adopted by 20+ platforms and the number of skills reaching the thousands), the specific temporal coordinates of the</w:t>
      </w:r>
      <w:r>
        <w:t xml:space="preserve"> </w:t>
      </w:r>
      <w:r>
        <w:t xml:space="preserve">“technology lock-in point”</w:t>
      </w:r>
      <w:r>
        <w:t xml:space="preserve"> </w:t>
      </w:r>
      <w:r>
        <w:t xml:space="preserve">remain an open question. This limitation is interconnected with the quantification issue of governance lag.</w:t>
      </w:r>
    </w:p>
    <w:bookmarkEnd w:id="60"/>
    <w:bookmarkStart w:id="61" w:name="design-limitations"/>
    <w:p>
      <w:pPr>
        <w:pStyle w:val="Heading3"/>
      </w:pPr>
      <w:r>
        <w:t xml:space="preserve">8.3 Design Limitations</w:t>
      </w:r>
    </w:p>
    <w:p>
      <w:pPr>
        <w:pStyle w:val="FirstParagraph"/>
      </w:pPr>
      <w:r>
        <w:rPr>
          <w:b/>
          <w:bCs/>
        </w:rPr>
        <w:t xml:space="preserve">(1) Limited scope of prototype evaluation.</w:t>
      </w:r>
      <w:r>
        <w:t xml:space="preserve"> </w:t>
      </w:r>
      <w:r>
        <w:t xml:space="preserve">As discussed in Section 4.3.5, the four evaluation activities conducted for the Responsibility Shield prototype provide evidence of conceptual feasibility and internal consistency but do not satisfy the criteria for</w:t>
      </w:r>
      <w:r>
        <w:t xml:space="preserve"> </w:t>
      </w:r>
      <w:r>
        <w:t xml:space="preserve">“Initial Validation”</w:t>
      </w:r>
      <w:r>
        <w:t xml:space="preserve"> </w:t>
      </w:r>
      <w:r>
        <w:t xml:space="preserve">as defined by Pries-Heje et al. (2008). The principal validation gaps include: the absence of external review by independent domain experts from AI security, HCI, and governance fields; the absence of controlled experiments with multiple user participants; the absence of deployment testing across multiple platforms in real production environments; and the absence of longitudinal tracking of the long-term effects and unintended consequences of the governance mechanism. The present study is more accurately positioned at the level of problem formulation and artefact description within the DSR maturity model. This paper explicitly states: the Responsibility Shield prototype and the R-Skills standard are exploratory design artefacts intended as conceptual triggers for scholarly dialogue and concrete targets for subsequent empirical validation, and should not be regarded as validated governance solutions.</w:t>
      </w:r>
    </w:p>
    <w:p>
      <w:pPr>
        <w:pStyle w:val="BodyText"/>
      </w:pPr>
      <w:r>
        <w:rPr>
          <w:b/>
          <w:bCs/>
        </w:rPr>
        <w:t xml:space="preserve">(2) Absence of game-theoretic analysis of the governance mechanism.</w:t>
      </w:r>
      <w:r>
        <w:t xml:space="preserve"> </w:t>
      </w:r>
      <w:r>
        <w:t xml:space="preserve">This paper does not deeply analyse the possibility of the governance mechanism being circumvented—for instance, whether malicious developers could provide fraudulent governance information, whether agents could learn to bypass the governance layer, or whether platform operators would have incentives to engage in</w:t>
      </w:r>
      <w:r>
        <w:t xml:space="preserve"> </w:t>
      </w:r>
      <w:r>
        <w:t xml:space="preserve">“faux compliance.”</w:t>
      </w:r>
      <w:r>
        <w:t xml:space="preserve"> </w:t>
      </w:r>
      <w:r>
        <w:t xml:space="preserve">Such game-theoretic security analyses are critical for the transition of governance solutions from</w:t>
      </w:r>
      <w:r>
        <w:t xml:space="preserve"> </w:t>
      </w:r>
      <w:r>
        <w:t xml:space="preserve">“conceptual feasibility”</w:t>
      </w:r>
      <w:r>
        <w:t xml:space="preserve"> </w:t>
      </w:r>
      <w:r>
        <w:t xml:space="preserve">to</w:t>
      </w:r>
      <w:r>
        <w:t xml:space="preserve"> </w:t>
      </w:r>
      <w:r>
        <w:t xml:space="preserve">“engineering viability,”</w:t>
      </w:r>
      <w:r>
        <w:t xml:space="preserve"> </w:t>
      </w:r>
      <w:r>
        <w:t xml:space="preserve">but fall beyond the exploratory DSR scope of this paper.</w:t>
      </w:r>
    </w:p>
    <w:bookmarkEnd w:id="61"/>
    <w:bookmarkStart w:id="62" w:name="X009f3a20ea073110dd1ed75ac95e7c0023dca42"/>
    <w:p>
      <w:pPr>
        <w:pStyle w:val="Heading3"/>
      </w:pPr>
      <w:r>
        <w:t xml:space="preserve">8.4 Literature and External Validity Limitations</w:t>
      </w:r>
    </w:p>
    <w:p>
      <w:pPr>
        <w:pStyle w:val="FirstParagraph"/>
      </w:pPr>
      <w:r>
        <w:rPr>
          <w:b/>
          <w:bCs/>
        </w:rPr>
        <w:t xml:space="preserve">(1) Timeliness challenge of literature coverage in an emerging domain.</w:t>
      </w:r>
      <w:r>
        <w:t xml:space="preserve"> </w:t>
      </w:r>
      <w:r>
        <w:t xml:space="preserve">Agentic Skills Security is a rapidly evolving interdisciplinary research domain, with relevant literature distributed across information systems, human-computer interaction, software engineering, and cybersecurity. This paper has incorporated mainstream peer-reviewed publications and authoritative institutional reports available as of mid-2026; however, as research output in this field continues to accelerate—with a substantial volume of the latest findings first appearing as preprints on platforms such as arXiv—the timeliness of literature coverage remains an ongoing challenge. The theoretical framework and empirical findings of this paper may need to be refined and updated in dialogue with the continually growing body of literature.</w:t>
      </w:r>
    </w:p>
    <w:p>
      <w:pPr>
        <w:pStyle w:val="BodyText"/>
      </w:pPr>
      <w:r>
        <w:rPr>
          <w:b/>
          <w:bCs/>
        </w:rPr>
        <w:t xml:space="preserve">(2) Specificity of the research context.</w:t>
      </w:r>
      <w:r>
        <w:t xml:space="preserve"> </w:t>
      </w:r>
      <w:r>
        <w:t xml:space="preserve">The research subject of this paper is the agentic skill ecosystem during the specific period from late 2025 to mid-2026. The technological landscape of this period (AgentSkills.io as the sole public standard, the specific configurations of five representative platforms, and the HKCERT security report findings) possesses an irreproducible specificity. Should the skill ecosystem undergo significant structural changes in the future—such as major revisions to the AgentSkills.io standard, the introduction of built-in governance mechanisms by mainstream platforms, or the issuance of mandatory governance requirements by regulators—the empirical findings and theoretical inferences of this paper may require corresponding updates and revisions.</w:t>
      </w:r>
    </w:p>
    <w:p>
      <w:r>
        <w:pict>
          <v:rect style="width:0;height:1.5pt" o:hralign="center" o:hrstd="t" o:hr="t"/>
        </w:pict>
      </w:r>
    </w:p>
    <w:bookmarkEnd w:id="62"/>
    <w:bookmarkEnd w:id="63"/>
    <w:bookmarkStart w:id="64" w:name="references"/>
    <w:p>
      <w:pPr>
        <w:pStyle w:val="Heading2"/>
      </w:pPr>
      <w:r>
        <w:t xml:space="preserve">References</w:t>
      </w:r>
    </w:p>
    <w:p>
      <w:pPr>
        <w:pStyle w:val="FirstParagraph"/>
      </w:pPr>
      <w:r>
        <w:t xml:space="preserve">Bandy, J. (2021). Problematic Machine Behavior: A Systematic Literature Review of Algorithm Audits.</w:t>
      </w:r>
      <w:r>
        <w:t xml:space="preserve"> </w:t>
      </w:r>
      <w:r>
        <w:rPr>
          <w:i/>
          <w:iCs/>
        </w:rPr>
        <w:t xml:space="preserve">Proceedings of the 2021 ACM Conference on Fairness, Accountability, and Transparency</w:t>
      </w:r>
      <w:r>
        <w:t xml:space="preserve">. https://doi.org/10.1145/3449148</w:t>
      </w:r>
    </w:p>
    <w:p>
      <w:pPr>
        <w:pStyle w:val="BodyText"/>
      </w:pPr>
      <w:r>
        <w:t xml:space="preserve">Chen, L. (2022). Platform Governance Design in Platform Ecosystems: Implications for Complementors’ Multihoming Decision.</w:t>
      </w:r>
      <w:r>
        <w:t xml:space="preserve"> </w:t>
      </w:r>
      <w:r>
        <w:rPr>
          <w:i/>
          <w:iCs/>
        </w:rPr>
        <w:t xml:space="preserve">Journal of Management</w:t>
      </w:r>
      <w:r>
        <w:t xml:space="preserve">. https://doi.org/10.1177/0149206320988337</w:t>
      </w:r>
    </w:p>
    <w:p>
      <w:pPr>
        <w:pStyle w:val="BodyText"/>
      </w:pPr>
      <w:r>
        <w:t xml:space="preserve">Chen, Y. (2021). Decentralized Governance of Digital Platforms.</w:t>
      </w:r>
      <w:r>
        <w:t xml:space="preserve"> </w:t>
      </w:r>
      <w:r>
        <w:rPr>
          <w:i/>
          <w:iCs/>
        </w:rPr>
        <w:t xml:space="preserve">Journal of Management</w:t>
      </w:r>
      <w:r>
        <w:t xml:space="preserve">. https://doi.org/10.1177/0149206320916755</w:t>
      </w:r>
    </w:p>
    <w:p>
      <w:pPr>
        <w:pStyle w:val="BodyText"/>
      </w:pPr>
      <w:r>
        <w:t xml:space="preserve">Cila, N., Bjoern, P., Wulf, V., et al. (2022). Designing Human-Agent Collaborations: Commitment, Responsiveness, and Support.</w:t>
      </w:r>
      <w:r>
        <w:t xml:space="preserve"> </w:t>
      </w:r>
      <w:r>
        <w:rPr>
          <w:i/>
          <w:iCs/>
        </w:rPr>
        <w:t xml:space="preserve">Proceedings of the 2022 CHI Conference on Human Factors in Computing Systems</w:t>
      </w:r>
      <w:r>
        <w:t xml:space="preserve">. https://doi.org/10.1145/3491102.3517500</w:t>
      </w:r>
    </w:p>
    <w:p>
      <w:pPr>
        <w:pStyle w:val="BodyText"/>
      </w:pPr>
      <w:r>
        <w:t xml:space="preserve">Cobbe, J., Singh, J., Allen, C., et al. (2023). Understanding Accountability in Algorithmic Supply Chains.</w:t>
      </w:r>
      <w:r>
        <w:t xml:space="preserve"> </w:t>
      </w:r>
      <w:r>
        <w:rPr>
          <w:i/>
          <w:iCs/>
        </w:rPr>
        <w:t xml:space="preserve">Proceedings of the 2023 ACM Conference on Fairness, Accountability, and Transparency</w:t>
      </w:r>
      <w:r>
        <w:t xml:space="preserve">. https://doi.org/10.1145/3593013.3594073</w:t>
      </w:r>
    </w:p>
    <w:p>
      <w:pPr>
        <w:pStyle w:val="BodyText"/>
      </w:pPr>
      <w:r>
        <w:t xml:space="preserve">Collingridge, D. (1980).</w:t>
      </w:r>
      <w:r>
        <w:t xml:space="preserve"> </w:t>
      </w:r>
      <w:r>
        <w:rPr>
          <w:i/>
          <w:iCs/>
        </w:rPr>
        <w:t xml:space="preserve">The Social Control of Technology</w:t>
      </w:r>
      <w:r>
        <w:t xml:space="preserve">. Frances Pinter. Milton Park: Routledge (reprinted 2016).</w:t>
      </w:r>
    </w:p>
    <w:p>
      <w:pPr>
        <w:pStyle w:val="BodyText"/>
      </w:pPr>
      <w:r>
        <w:t xml:space="preserve">Costabile, C., D’Adderio, L., Fernandes, K. (2023). Digital Platform Ecosystem Governance of Private Companies: Building Blocks and a Research Agenda.</w:t>
      </w:r>
      <w:r>
        <w:t xml:space="preserve"> </w:t>
      </w:r>
      <w:r>
        <w:rPr>
          <w:i/>
          <w:iCs/>
        </w:rPr>
        <w:t xml:space="preserve">Data and Information Management</w:t>
      </w:r>
      <w:r>
        <w:t xml:space="preserve">, 7(4), 100053. https://doi.org/10.1016/j.dim.2023.100053</w:t>
      </w:r>
    </w:p>
    <w:p>
      <w:pPr>
        <w:pStyle w:val="BodyText"/>
      </w:pPr>
      <w:r>
        <w:t xml:space="preserve">Dang, Y., Li, S., Zhang, T., et al. (2025). Multi-Agent Collaboration Via Evolving Orchestration.</w:t>
      </w:r>
      <w:r>
        <w:t xml:space="preserve"> </w:t>
      </w:r>
      <w:r>
        <w:rPr>
          <w:i/>
          <w:iCs/>
        </w:rPr>
        <w:t xml:space="preserve">Advances in Neural Information Processing Systems (NeurIPS) 2025</w:t>
      </w:r>
      <w:r>
        <w:t xml:space="preserve">.</w:t>
      </w:r>
    </w:p>
    <w:p>
      <w:pPr>
        <w:pStyle w:val="BodyText"/>
      </w:pPr>
      <w:r>
        <w:t xml:space="preserve">Diaz-Rodriguez, N., Lutzi, R., Montes, M. V., et al. (2023). Connecting the Dots in Trustworthy Artificial Intelligence: from AI Principles, Ethics, and Key Requirements to Responsible AI Systems and Regulation.</w:t>
      </w:r>
      <w:r>
        <w:t xml:space="preserve"> </w:t>
      </w:r>
      <w:r>
        <w:rPr>
          <w:i/>
          <w:iCs/>
        </w:rPr>
        <w:t xml:space="preserve">Information Fusion</w:t>
      </w:r>
      <w:r>
        <w:t xml:space="preserve">, 101896. https://doi.org/10.1016/j.inffus.2023.101896</w:t>
      </w:r>
    </w:p>
    <w:p>
      <w:pPr>
        <w:pStyle w:val="BodyText"/>
      </w:pPr>
      <w:r>
        <w:t xml:space="preserve">Gorwa, R. (2020). Algorithmic Content Moderation: Technical and Political Challenges in the Automation of Platform Governance.</w:t>
      </w:r>
      <w:r>
        <w:t xml:space="preserve"> </w:t>
      </w:r>
      <w:r>
        <w:rPr>
          <w:i/>
          <w:iCs/>
        </w:rPr>
        <w:t xml:space="preserve">Big Data &amp; Society</w:t>
      </w:r>
      <w:r>
        <w:t xml:space="preserve">, 7(1). https://doi.org/10.1177/2053951719897945</w:t>
      </w:r>
    </w:p>
    <w:p>
      <w:pPr>
        <w:pStyle w:val="BodyText"/>
      </w:pPr>
      <w:r>
        <w:t xml:space="preserve">Guston, D. H. (2014). Building</w:t>
      </w:r>
      <w:r>
        <w:t xml:space="preserve"> </w:t>
      </w:r>
      <w:r>
        <w:t xml:space="preserve">‘Things of Consequence’</w:t>
      </w:r>
      <w:r>
        <w:t xml:space="preserve">: Epistemic and Political Modes of Responsiveness in Responsible Innovation. In</w:t>
      </w:r>
      <w:r>
        <w:t xml:space="preserve"> </w:t>
      </w:r>
      <w:r>
        <w:rPr>
          <w:i/>
          <w:iCs/>
        </w:rPr>
        <w:t xml:space="preserve">Responsible Innovation: Managing the Responsible Emergence of Science and Technology in Society</w:t>
      </w:r>
      <w:r>
        <w:t xml:space="preserve"> </w:t>
      </w:r>
      <w:r>
        <w:t xml:space="preserve">(pp. 109-125). Wiley. https://doi.org/10.1002/9781118730062.ch5</w:t>
      </w:r>
    </w:p>
    <w:p>
      <w:pPr>
        <w:pStyle w:val="BodyText"/>
      </w:pPr>
      <w:r>
        <w:t xml:space="preserve">Kordzadeh, N. (2022). Algorithmic Bias: Review, Synthesis, and Future Research Directions.</w:t>
      </w:r>
      <w:r>
        <w:t xml:space="preserve"> </w:t>
      </w:r>
      <w:r>
        <w:rPr>
          <w:i/>
          <w:iCs/>
        </w:rPr>
        <w:t xml:space="preserve">European Journal of Information Systems</w:t>
      </w:r>
      <w:r>
        <w:t xml:space="preserve">, 31(5), 567–586. https://doi.org/10.1080/0960085x.2021.1927212</w:t>
      </w:r>
    </w:p>
    <w:p>
      <w:pPr>
        <w:pStyle w:val="BodyText"/>
      </w:pPr>
      <w:r>
        <w:t xml:space="preserve">Kuziemski, M. (2020). AI Governance in the Public Sector: Three Tales from the Frontiers of Automated Decision-Making in Democratic Settings.</w:t>
      </w:r>
      <w:r>
        <w:t xml:space="preserve"> </w:t>
      </w:r>
      <w:r>
        <w:rPr>
          <w:i/>
          <w:iCs/>
        </w:rPr>
        <w:t xml:space="preserve">Telecommunications Policy</w:t>
      </w:r>
      <w:r>
        <w:t xml:space="preserve">, 44(6), 101976. https://doi.org/10.1016/j.telpol.2020.101976</w:t>
      </w:r>
    </w:p>
    <w:p>
      <w:pPr>
        <w:pStyle w:val="BodyText"/>
      </w:pPr>
      <w:r>
        <w:t xml:space="preserve">Li, X., Zhang, Y., Cui, B., et al. (2024). A Survey on LLM-based Multi-Agent Systems: Workflow, Infrastructure, and Challenges.</w:t>
      </w:r>
      <w:r>
        <w:t xml:space="preserve"> </w:t>
      </w:r>
      <w:r>
        <w:rPr>
          <w:i/>
          <w:iCs/>
        </w:rPr>
        <w:t xml:space="preserve">arXiv preprint</w:t>
      </w:r>
      <w:r>
        <w:t xml:space="preserve">.</w:t>
      </w:r>
    </w:p>
    <w:p>
      <w:pPr>
        <w:pStyle w:val="BodyText"/>
      </w:pPr>
      <w:r>
        <w:t xml:space="preserve">Li, X., Wu, Q., Zhang, X., et al. (2023). Research on the Mechanism of Sustainable Business Model Innovation Driven by the Digital Platform Ecosystem.</w:t>
      </w:r>
      <w:r>
        <w:t xml:space="preserve"> </w:t>
      </w:r>
      <w:r>
        <w:rPr>
          <w:i/>
          <w:iCs/>
        </w:rPr>
        <w:t xml:space="preserve">Journal of Engineering and Technology Management</w:t>
      </w:r>
      <w:r>
        <w:t xml:space="preserve">, 71, 101738. https://doi.org/10.1016/j.jengtecman.2023.101738</w:t>
      </w:r>
    </w:p>
    <w:p>
      <w:pPr>
        <w:pStyle w:val="BodyText"/>
      </w:pPr>
      <w:r>
        <w:t xml:space="preserve">Marchant, G. E., Allenby, B. R., &amp; Herkert, J. R. (2011).</w:t>
      </w:r>
      <w:r>
        <w:t xml:space="preserve"> </w:t>
      </w:r>
      <w:r>
        <w:rPr>
          <w:i/>
          <w:iCs/>
        </w:rPr>
        <w:t xml:space="preserve">The Growing Gap Between Emerging Technologies and Legal-Ethical Oversight: The Pacing Problem</w:t>
      </w:r>
      <w:r>
        <w:t xml:space="preserve">. Springer Science &amp; Business Media.</w:t>
      </w:r>
    </w:p>
    <w:p>
      <w:pPr>
        <w:pStyle w:val="BodyText"/>
      </w:pPr>
      <w:r>
        <w:t xml:space="preserve">Mikalef, P. (2022). Thinking Responsibly about Responsible AI and</w:t>
      </w:r>
      <w:r>
        <w:t xml:space="preserve"> </w:t>
      </w:r>
      <w:r>
        <w:t xml:space="preserve">‘the Dark Side’</w:t>
      </w:r>
      <w:r>
        <w:t xml:space="preserve"> </w:t>
      </w:r>
      <w:r>
        <w:t xml:space="preserve">of AI.</w:t>
      </w:r>
      <w:r>
        <w:t xml:space="preserve"> </w:t>
      </w:r>
      <w:r>
        <w:rPr>
          <w:i/>
          <w:iCs/>
        </w:rPr>
        <w:t xml:space="preserve">European Journal of Information Systems</w:t>
      </w:r>
      <w:r>
        <w:t xml:space="preserve">, 31(5), 519–524. https://doi.org/10.1080/0960085x.2022.2026621</w:t>
      </w:r>
    </w:p>
    <w:p>
      <w:pPr>
        <w:pStyle w:val="BodyText"/>
      </w:pPr>
      <w:r>
        <w:t xml:space="preserve">Nonaka, I., Takeuchi, H. (1995).</w:t>
      </w:r>
      <w:r>
        <w:t xml:space="preserve"> </w:t>
      </w:r>
      <w:r>
        <w:rPr>
          <w:i/>
          <w:iCs/>
        </w:rPr>
        <w:t xml:space="preserve">The Knowledge-Creating Company: How Japanese Companies Create the Dynamics of Innovation</w:t>
      </w:r>
      <w:r>
        <w:t xml:space="preserve">. Oxford University Press.</w:t>
      </w:r>
    </w:p>
    <w:p>
      <w:pPr>
        <w:pStyle w:val="BodyText"/>
      </w:pPr>
      <w:r>
        <w:t xml:space="preserve">Peng, H., Jiang, Y., Li, X., et al. (2023). Promoting Value Emergence Through Digital Platform Ecosystems.</w:t>
      </w:r>
      <w:r>
        <w:t xml:space="preserve"> </w:t>
      </w:r>
      <w:r>
        <w:rPr>
          <w:i/>
          <w:iCs/>
        </w:rPr>
        <w:t xml:space="preserve">Technological Forecasting and Social Change</w:t>
      </w:r>
      <w:r>
        <w:t xml:space="preserve">, 191, 122338. https://doi.org/10.1016/j.techfore.2023.122338</w:t>
      </w:r>
    </w:p>
    <w:p>
      <w:pPr>
        <w:pStyle w:val="BodyText"/>
      </w:pPr>
      <w:r>
        <w:t xml:space="preserve">Pries-Heje, J., Baskerville, R., Venable, J. R. (2008). Strategies for Design Science Research Evaluation. In:</w:t>
      </w:r>
      <w:r>
        <w:t xml:space="preserve"> </w:t>
      </w:r>
      <w:r>
        <w:rPr>
          <w:i/>
          <w:iCs/>
        </w:rPr>
        <w:t xml:space="preserve">Design Science Research in Information Systems and Technology</w:t>
      </w:r>
      <w:r>
        <w:t xml:space="preserve">. DESRIST 2008. Lecture Notes in Computer Science, vol 5283. Springer. https://doi.org/10.1007/978-3-540-87755-4_11</w:t>
      </w:r>
    </w:p>
    <w:p>
      <w:pPr>
        <w:pStyle w:val="BodyText"/>
      </w:pPr>
      <w:r>
        <w:t xml:space="preserve">Rakova, B., Madaio, M. A., Sorensen, S. W., et al. (2021). Where Responsible AI Meets Reality: Practitioner Perspectives on Enablers for Shifting Organizational Practices.</w:t>
      </w:r>
      <w:r>
        <w:t xml:space="preserve"> </w:t>
      </w:r>
      <w:r>
        <w:rPr>
          <w:i/>
          <w:iCs/>
        </w:rPr>
        <w:t xml:space="preserve">Proceedings of the ACM on Human-Computer Interaction</w:t>
      </w:r>
      <w:r>
        <w:t xml:space="preserve">, 5(CSCW1), Article 105. https://doi.org/10.1145/3449081</w:t>
      </w:r>
    </w:p>
    <w:p>
      <w:pPr>
        <w:pStyle w:val="BodyText"/>
      </w:pPr>
      <w:r>
        <w:t xml:space="preserve">Suchman, L. (2007).</w:t>
      </w:r>
      <w:r>
        <w:t xml:space="preserve"> </w:t>
      </w:r>
      <w:r>
        <w:rPr>
          <w:i/>
          <w:iCs/>
        </w:rPr>
        <w:t xml:space="preserve">Human-Machine Reconfigurations: Plans and Situated Actions</w:t>
      </w:r>
      <w:r>
        <w:t xml:space="preserve"> </w:t>
      </w:r>
      <w:r>
        <w:t xml:space="preserve">(2nd ed.). Cambridge University Press.</w:t>
      </w:r>
    </w:p>
    <w:p>
      <w:pPr>
        <w:pStyle w:val="BodyText"/>
      </w:pPr>
      <w:r>
        <w:t xml:space="preserve">Veale, M. (2018). Fairness and Accountability Design Needs for Algorithmic Support in High-Stakes Public Sector Decision-Making.</w:t>
      </w:r>
      <w:r>
        <w:t xml:space="preserve"> </w:t>
      </w:r>
      <w:r>
        <w:rPr>
          <w:i/>
          <w:iCs/>
        </w:rPr>
        <w:t xml:space="preserve">Proceedings of the 2018 CHI Conference on Human Factors in Computing Systems</w:t>
      </w:r>
      <w:r>
        <w:t xml:space="preserve">. https://doi.org/10.1145/3173574.3174014</w:t>
      </w:r>
    </w:p>
    <w:p>
      <w:pPr>
        <w:pStyle w:val="BodyText"/>
      </w:pPr>
      <w:r>
        <w:t xml:space="preserve">Wang, L., Ma, C., Feng, X., et al. (2024). A Survey on Large Language Model Based Autonomous Agents.</w:t>
      </w:r>
      <w:r>
        <w:t xml:space="preserve"> </w:t>
      </w:r>
      <w:r>
        <w:rPr>
          <w:i/>
          <w:iCs/>
        </w:rPr>
        <w:t xml:space="preserve">Frontiers of Computer Science</w:t>
      </w:r>
      <w:r>
        <w:t xml:space="preserve">, 18(6), 186345. https://doi.org/10.1007/s11704-024-40231-1</w:t>
      </w:r>
    </w:p>
    <w:p>
      <w:pPr>
        <w:pStyle w:val="BodyText"/>
      </w:pPr>
      <w:r>
        <w:t xml:space="preserve">Wang, Q., Madaio, M. A., Zhang, Y., et al. (2023). Designing Responsible AI: Adaptations of UX Practice to Meet Responsible AI Challenges.</w:t>
      </w:r>
      <w:r>
        <w:t xml:space="preserve"> </w:t>
      </w:r>
      <w:r>
        <w:rPr>
          <w:i/>
          <w:iCs/>
        </w:rPr>
        <w:t xml:space="preserve">Proceedings of the 2023 CHI Conference on Human Factors in Computing Systems</w:t>
      </w:r>
      <w:r>
        <w:t xml:space="preserve">. https://doi.org/10.1145/3544548.3581278</w:t>
      </w:r>
    </w:p>
    <w:p>
      <w:pPr>
        <w:pStyle w:val="BodyText"/>
      </w:pPr>
      <w:r>
        <w:t xml:space="preserve">Wieringa, M. (2020). What to Account for when Accounting for Algorithms: a Systematic Literature Review on Algorithmic Accountability.</w:t>
      </w:r>
      <w:r>
        <w:t xml:space="preserve"> </w:t>
      </w:r>
      <w:r>
        <w:rPr>
          <w:i/>
          <w:iCs/>
        </w:rPr>
        <w:t xml:space="preserve">Proceedings of the 2020 Conference on Fairness, Accountability, and Transparency</w:t>
      </w:r>
      <w:r>
        <w:t xml:space="preserve">. https://doi.org/10.1145/3351095.3372833</w:t>
      </w:r>
    </w:p>
    <w:p>
      <w:pPr>
        <w:pStyle w:val="BodyText"/>
      </w:pPr>
      <w:r>
        <w:t xml:space="preserve">Ananny, M. (2018). Seeing Without Knowing: Limitations of the Transparency Ideal and Its Application to Algorithmic Accountability.</w:t>
      </w:r>
      <w:r>
        <w:t xml:space="preserve"> </w:t>
      </w:r>
      <w:r>
        <w:rPr>
          <w:i/>
          <w:iCs/>
        </w:rPr>
        <w:t xml:space="preserve">New Media &amp; Society</w:t>
      </w:r>
      <w:r>
        <w:t xml:space="preserve">, 20(3), 973–989. https://doi.org/10.1177/1461444816676645</w:t>
      </w:r>
    </w:p>
    <w:p>
      <w:pPr>
        <w:pStyle w:val="BodyText"/>
      </w:pPr>
      <w:r>
        <w:t xml:space="preserve">Zhang, Y. (2022). Platform Governance Matters: How Platform Gatekeeping Affects Knowledge Sharing among Complementors.</w:t>
      </w:r>
      <w:r>
        <w:t xml:space="preserve"> </w:t>
      </w:r>
      <w:r>
        <w:rPr>
          <w:i/>
          <w:iCs/>
        </w:rPr>
        <w:t xml:space="preserve">Strategic Management Journal</w:t>
      </w:r>
      <w:r>
        <w:t xml:space="preserve">, 43(1), 3–30. https://doi.org/10.1002/smj.3191</w:t>
      </w:r>
    </w:p>
    <w:p>
      <w:pPr>
        <w:pStyle w:val="BodyText"/>
      </w:pPr>
      <w:r>
        <w:t xml:space="preserve">Anthropic. (2025, December 18).</w:t>
      </w:r>
      <w:r>
        <w:t xml:space="preserve"> </w:t>
      </w:r>
      <w:r>
        <w:rPr>
          <w:i/>
          <w:iCs/>
        </w:rPr>
        <w:t xml:space="preserve">AgentSkills.io: The Open Standard for AI Agent Skills — Specification</w:t>
      </w:r>
      <w:r>
        <w:t xml:space="preserve">. https://agentskills.io/specification</w:t>
      </w:r>
    </w:p>
    <w:p>
      <w:pPr>
        <w:pStyle w:val="BodyText"/>
      </w:pPr>
      <w:r>
        <w:t xml:space="preserve">Xu, R., &amp; Yan, Y. (2026). Agent Skills for Large Language Models: Architecture, Acquisition, Security, and the Path Forward.</w:t>
      </w:r>
      <w:r>
        <w:t xml:space="preserve"> </w:t>
      </w:r>
      <w:r>
        <w:rPr>
          <w:i/>
          <w:iCs/>
        </w:rPr>
        <w:t xml:space="preserve">arXiv preprint</w:t>
      </w:r>
      <w:r>
        <w:t xml:space="preserve">, arXiv:2602.12430. https://arxiv.org/abs/2602.12430</w:t>
      </w:r>
    </w:p>
    <w:p>
      <w:pPr>
        <w:pStyle w:val="BodyText"/>
      </w:pPr>
      <w:r>
        <w:t xml:space="preserve">Liu, Y., Wang, W., Chen, Z., et al. (2026). Agent Skills in the Wild: An Empirical Study of Security Vulnerabilities at Scale.</w:t>
      </w:r>
      <w:r>
        <w:t xml:space="preserve"> </w:t>
      </w:r>
      <w:r>
        <w:rPr>
          <w:i/>
          <w:iCs/>
        </w:rPr>
        <w:t xml:space="preserve">arXiv preprint</w:t>
      </w:r>
      <w:r>
        <w:t xml:space="preserve">, arXiv:2601.10338. Quantstamp. https://arxiv.org/abs/2601.10338</w:t>
      </w:r>
    </w:p>
    <w:p>
      <w:pPr>
        <w:pStyle w:val="BodyText"/>
      </w:pPr>
      <w:r>
        <w:t xml:space="preserve">Bhardwaj, V. P. (2026). Formal Analysis and Supply Chain Security for Agentic AI Skills.</w:t>
      </w:r>
      <w:r>
        <w:t xml:space="preserve"> </w:t>
      </w:r>
      <w:r>
        <w:rPr>
          <w:i/>
          <w:iCs/>
        </w:rPr>
        <w:t xml:space="preserve">arXiv preprint</w:t>
      </w:r>
      <w:r>
        <w:t xml:space="preserve">, arXiv:2603.00195. https://arxiv.org/abs/2603.00195</w:t>
      </w:r>
    </w:p>
    <w:p>
      <w:pPr>
        <w:pStyle w:val="BodyText"/>
      </w:pPr>
      <w:r>
        <w:t xml:space="preserve">Hong Kong Computer Emergency Response Team Coordination Centre (HKCERT). (2026, March 17).</w:t>
      </w:r>
      <w:r>
        <w:t xml:space="preserve"> </w:t>
      </w:r>
      <w:r>
        <w:rPr>
          <w:i/>
          <w:iCs/>
        </w:rPr>
        <w:t xml:space="preserve">OpenClaw’s Rapid Adoption Exposes Skills Supply Chain and Fake Installer Risks in a High-Privilege AI Agent Platform</w:t>
      </w:r>
      <w:r>
        <w:t xml:space="preserve">. Hong Kong: HKCERT. https://www.hkcert.org/blog/openclaw-s-rapid-adoption-exposes-skills-supply-chain-and-fake-installer-risks-in-a-high-privilege-ai-agent-platform</w:t>
      </w:r>
    </w:p>
    <w:p>
      <w:pPr>
        <w:pStyle w:val="BodyText"/>
      </w:pPr>
      <w:r>
        <w:t xml:space="preserve">Hong Kong Computer Emergency Response Team Coordination Centre (HKCERT). (2026, January 29).</w:t>
      </w:r>
      <w:r>
        <w:t xml:space="preserve"> </w:t>
      </w:r>
      <w:r>
        <w:rPr>
          <w:i/>
          <w:iCs/>
        </w:rPr>
        <w:t xml:space="preserve">Hong Kong Cybersecurity Outlook 2026: Security Incidents Hit Record High with 27% Annual Increase — AI-related Attacks and Supply Chain Risks Emerge as Top Concerns</w:t>
      </w:r>
      <w:r>
        <w:t xml:space="preserve">. Hong Kong: HKCERT. https://www.hkcert.org/press-centre/hkcert-releases-hong-kong-cybersecurity-outlook-2026</w:t>
      </w:r>
    </w:p>
    <w:p>
      <w:pPr>
        <w:pStyle w:val="BodyText"/>
      </w:pPr>
      <w:r>
        <w:t xml:space="preserve">OWASP Foundation. (2026).</w:t>
      </w:r>
      <w:r>
        <w:t xml:space="preserve"> </w:t>
      </w:r>
      <w:r>
        <w:rPr>
          <w:i/>
          <w:iCs/>
        </w:rPr>
        <w:t xml:space="preserve">OWASP Agentic Skills Top 10 (AST10): The 10 Most Critical Security Risks in Agentic AI Skills</w:t>
      </w:r>
      <w:r>
        <w:t xml:space="preserve">. https://owasp.org/www-project-agentic-skills-top-10</w:t>
      </w:r>
    </w:p>
    <w:p>
      <w:pPr>
        <w:pStyle w:val="BodyText"/>
      </w:pPr>
      <w:r>
        <w:t xml:space="preserve">OWASP Foundation. (2025, December).</w:t>
      </w:r>
      <w:r>
        <w:t xml:space="preserve"> </w:t>
      </w:r>
      <w:r>
        <w:rPr>
          <w:i/>
          <w:iCs/>
        </w:rPr>
        <w:t xml:space="preserve">OWASP Top 10 for Agentic Applications for 2026</w:t>
      </w:r>
      <w:r>
        <w:t xml:space="preserve">. https://genai.owasp.org/resource/owasp-top-10-for-agentic-applications-for-2026</w:t>
      </w:r>
    </w:p>
    <w:p>
      <w:pPr>
        <w:pStyle w:val="BodyText"/>
      </w:pPr>
      <w:r>
        <w:t xml:space="preserve">NSFocus Global. (2026, February 3).</w:t>
      </w:r>
      <w:r>
        <w:t xml:space="preserve"> </w:t>
      </w:r>
      <w:r>
        <w:rPr>
          <w:i/>
          <w:iCs/>
        </w:rPr>
        <w:t xml:space="preserve">Analysis of the Attack Surface in the Agent Skills Architecture: Case Studies and Ecosystem Research</w:t>
      </w:r>
      <w:r>
        <w:t xml:space="preserve">. NSFocus Security Research. https://nsfocusglobal.com/analysis-of-the-attack-surface-in-the-agent-skills-architecture-case-studies-and-ecosystem-research</w:t>
      </w:r>
    </w:p>
    <w:p>
      <w:pPr>
        <w:pStyle w:val="BodyText"/>
      </w:pPr>
      <w:r>
        <w:t xml:space="preserve">Tencent. (2026, March 9).</w:t>
      </w:r>
      <w:r>
        <w:t xml:space="preserve"> </w:t>
      </w:r>
      <w:r>
        <w:rPr>
          <w:i/>
          <w:iCs/>
        </w:rPr>
        <w:t xml:space="preserve">WorkBuddy: AI-Powered Desktop Workstation with Skill Ecosystem</w:t>
      </w:r>
      <w:r>
        <w:t xml:space="preserve">. https://work.qq.com/workbuddy</w:t>
      </w:r>
    </w:p>
    <w:p>
      <w:pPr>
        <w:pStyle w:val="BodyText"/>
      </w:pPr>
      <w:r>
        <w:t xml:space="preserve">ByteDance. (2026).</w:t>
      </w:r>
      <w:r>
        <w:t xml:space="preserve"> </w:t>
      </w:r>
      <w:r>
        <w:rPr>
          <w:i/>
          <w:iCs/>
        </w:rPr>
        <w:t xml:space="preserve">Coze </w:t>
      </w:r>
      <w:r>
        <w:rPr>
          <w:rFonts w:hint="eastAsia"/>
          <w:i/>
          <w:iCs/>
        </w:rPr>
        <w:t xml:space="preserve">(扣子):</w:t>
      </w:r>
      <w:r>
        <w:rPr>
          <w:i/>
          <w:iCs/>
        </w:rPr>
        <w:t xml:space="preserve"> AI Agent Development Platform with Skill Marketplace</w:t>
      </w:r>
      <w:r>
        <w:t xml:space="preserve">. https://www.coze.com</w:t>
      </w:r>
    </w:p>
    <w:p>
      <w:pPr>
        <w:pStyle w:val="BodyText"/>
      </w:pPr>
      <w:r>
        <w:t xml:space="preserve">Claude Skills Directory. (2026).</w:t>
      </w:r>
      <w:r>
        <w:t xml:space="preserve"> </w:t>
      </w:r>
      <w:r>
        <w:rPr>
          <w:i/>
          <w:iCs/>
        </w:rPr>
        <w:t xml:space="preserve">claude-skills.info: Community-curated Directory of Claude Agent Skills</w:t>
      </w:r>
      <w:r>
        <w:t xml:space="preserve">. https://claude-skills.info</w:t>
      </w:r>
    </w:p>
    <w:p>
      <w:pPr>
        <w:pStyle w:val="BodyText"/>
      </w:pPr>
      <w:r>
        <w:t xml:space="preserve">SkillsLLM. (2026).</w:t>
      </w:r>
      <w:r>
        <w:t xml:space="preserve"> </w:t>
      </w:r>
      <w:r>
        <w:rPr>
          <w:i/>
          <w:iCs/>
        </w:rPr>
        <w:t xml:space="preserve">SkillsLLM: Security-Vetted AI Agent Skills Marketplace</w:t>
      </w:r>
      <w:r>
        <w:t xml:space="preserve">. https://skillsllm.com</w:t>
      </w:r>
    </w:p>
    <w:p>
      <w:pPr>
        <w:pStyle w:val="BodyText"/>
      </w:pPr>
      <w:r>
        <w:t xml:space="preserve">OpenClaw Project. (2025).</w:t>
      </w:r>
      <w:r>
        <w:t xml:space="preserve"> </w:t>
      </w:r>
      <w:r>
        <w:rPr>
          <w:i/>
          <w:iCs/>
        </w:rPr>
        <w:t xml:space="preserve">OpenClaw: Open-Source AI Agent Framework with ClawHub Skill Marketplace</w:t>
      </w:r>
      <w:r>
        <w:t xml:space="preserve">. https://github.com/openclaw/openclaw</w:t>
      </w:r>
    </w:p>
    <w:p>
      <w:pPr>
        <w:pStyle w:val="BodyText"/>
      </w:pPr>
      <w:r>
        <w:t xml:space="preserve">Zhipu AI. (2026).</w:t>
      </w:r>
      <w:r>
        <w:t xml:space="preserve"> </w:t>
      </w:r>
      <w:r>
        <w:rPr>
          <w:i/>
          <w:iCs/>
        </w:rPr>
        <w:t xml:space="preserve">Z.AI Agent Platform: Skill Ecosystem and Governance</w:t>
      </w:r>
      <w:r>
        <w:t xml:space="preserve">. https://open.bigmodel.cn</w:t>
      </w:r>
    </w:p>
    <w:p>
      <w:pPr>
        <w:pStyle w:val="BodyText"/>
      </w:pPr>
      <w:r>
        <w:t xml:space="preserve">Campbell, D. T., &amp; Fiske, D. W. (1959). Convergent and Discriminant Validation by the Multitrait-Multimethod Matrix.</w:t>
      </w:r>
      <w:r>
        <w:t xml:space="preserve"> </w:t>
      </w:r>
      <w:r>
        <w:rPr>
          <w:i/>
          <w:iCs/>
        </w:rPr>
        <w:t xml:space="preserve">Psychological Bulletin</w:t>
      </w:r>
      <w:r>
        <w:t xml:space="preserve">, 56(2), 81–105. https://doi.org/10.1037/h0046016</w:t>
      </w:r>
    </w:p>
    <w:p>
      <w:pPr>
        <w:pStyle w:val="BodyText"/>
      </w:pPr>
      <w:r>
        <w:t xml:space="preserve">Gregor, S., &amp; Hevner, A. R. (2013). Positioning and Presenting Design Science Research for Maximum Impact.</w:t>
      </w:r>
      <w:r>
        <w:t xml:space="preserve"> </w:t>
      </w:r>
      <w:r>
        <w:rPr>
          <w:i/>
          <w:iCs/>
        </w:rPr>
        <w:t xml:space="preserve">MIS Quarterly</w:t>
      </w:r>
      <w:r>
        <w:t xml:space="preserve">, 37(2), 337–355. https://doi.org/10.25300/MISQ/2013/37.2.01</w:t>
      </w:r>
    </w:p>
    <w:p>
      <w:pPr>
        <w:pStyle w:val="BodyText"/>
      </w:pPr>
      <w:r>
        <w:t xml:space="preserve">European Commission. (2025).</w:t>
      </w:r>
      <w:r>
        <w:t xml:space="preserve"> </w:t>
      </w:r>
      <w:r>
        <w:rPr>
          <w:i/>
          <w:iCs/>
        </w:rPr>
        <w:t xml:space="preserve">Code of Practice on General-Purpose AI Models — AI Office Implementing Guidelines</w:t>
      </w:r>
      <w:r>
        <w:t xml:space="preserve">. Brussels: European Commission. https://digital-strategy.ec.europa.eu/en/library/code-practice-general-purpose-ai-models</w:t>
      </w:r>
    </w:p>
    <w:p>
      <w:pPr>
        <w:pStyle w:val="BodyText"/>
      </w:pPr>
      <w:r>
        <w:t xml:space="preserve">Janssen, M., &amp; van der Voort, H. (2016). Adaptive Governance: Towards a Stable, Openly Participating and Responsible Gov 2.0.</w:t>
      </w:r>
      <w:r>
        <w:t xml:space="preserve"> </w:t>
      </w:r>
      <w:r>
        <w:rPr>
          <w:i/>
          <w:iCs/>
        </w:rPr>
        <w:t xml:space="preserve">Government Information Quarterly</w:t>
      </w:r>
      <w:r>
        <w:t xml:space="preserve">, 33(3), 563–571. https://doi.org/10.1016/j.giq.2016.07.001</w:t>
      </w:r>
    </w:p>
    <w:p>
      <w:pPr>
        <w:pStyle w:val="BodyText"/>
      </w:pPr>
      <w:r>
        <w:t xml:space="preserve">Brownsword, R. (2019).</w:t>
      </w:r>
      <w:r>
        <w:t xml:space="preserve"> </w:t>
      </w:r>
      <w:r>
        <w:rPr>
          <w:i/>
          <w:iCs/>
        </w:rPr>
        <w:t xml:space="preserve">Law, Technology and Society: Reimagining the Regulatory Environment</w:t>
      </w:r>
      <w:r>
        <w:t xml:space="preserve">. Routledge.</w:t>
      </w:r>
    </w:p>
    <w:p>
      <w:r>
        <w:pict>
          <v:rect style="width:0;height:1.5pt" o:hralign="center" o:hrstd="t" o:hr="t"/>
        </w:pict>
      </w:r>
    </w:p>
    <w:p>
      <w:pPr>
        <w:pStyle w:val="FirstParagraph"/>
      </w:pPr>
      <w:r>
        <w:rPr>
          <w:i/>
          <w:iCs/>
        </w:rPr>
        <w:t xml:space="preserve">This manuscript is an academic first draft, intended solely for academic discussion and peer review purposes. All observational data and prototype designs are based on empirical materials drawn from real deployment environments.</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2026-05-24T13:29:38Z</dcterms:created>
  <dcterms:modified xsi:type="dcterms:W3CDTF">2026-05-24T13:29:38Z</dcterms:modified>
</cp:coreProperties>
</file>

<file path=docProps/custom.xml><?xml version="1.0" encoding="utf-8"?>
<Properties xmlns="http://schemas.openxmlformats.org/officeDocument/2006/custom-properties" xmlns:vt="http://schemas.openxmlformats.org/officeDocument/2006/docPropsVTypes"/>
</file>