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SỐ 105/2021/NĐ-CP</w:t>
        <w:br/>
        <w:t>QUY ĐỊNH CHI TIẾT VÀ HƯỚNG DẪN THI HÀNH</w:t>
        <w:br/>
        <w:t>MỘT SỐ ĐIỀU CỦA LUẬT PHÒNG, CHỐNG MA TÚY</w:t>
      </w:r>
    </w:p>
    <w:p>
      <w:r>
        <w:t>Ngày ban hành: 04/12/2021</w:t>
        <w:br/>
        <w:t>Chính phủ nước Cộng hòa xã hội chủ nghĩa Việt Nam</w:t>
        <w:br/>
        <w:t>Căn cứ Luật Phòng, chống ma túy số 73/2021/QH14 ngày 30 tháng 3 năm 2021</w:t>
      </w:r>
    </w:p>
    <w:p/>
    <w:p>
      <w:pPr>
        <w:pStyle w:val="Heading2"/>
      </w:pPr>
      <w:r>
        <w:t>Điều 1. Phạm vi điều chỉnh</w:t>
      </w:r>
    </w:p>
    <w:p>
      <w:r>
        <w:t>Nghị định này quy định chi tiết và hướng dẫn thi hành một số điều của Luật Phòng, chống ma túy về:</w:t>
        <w:br/>
        <w:t>1. Công tác phối hợp của các cơ quan chuyên trách phòng, chống tội phạm về ma túy;</w:t>
        <w:br/>
        <w:t>2. Kiểm soát các hoạt động hợp pháp liên quan đến ma túy;</w:t>
        <w:br/>
        <w:t>3. Quản lý người sử dụng trái phép chất ma túy;</w:t>
        <w:br/>
        <w:t>4. Cai nghiện ma túy tự nguyện tại gia đình và cộng đồng;</w:t>
        <w:br/>
        <w:t>5. Cai nghiện ma túy bắt buộc.</w:t>
      </w:r>
    </w:p>
    <w:p>
      <w:pPr>
        <w:pStyle w:val="Heading2"/>
      </w:pPr>
      <w:r>
        <w:t>Điều 2. Đối tượng áp dụng</w:t>
      </w:r>
    </w:p>
    <w:p>
      <w:r>
        <w:t>Nghị định này áp dụng đối với cơ quan, tổ chức, cá nhân có liên quan đến:</w:t>
        <w:br/>
        <w:t>1. Công tác phối hợp phòng, chống tội phạm về ma túy;</w:t>
        <w:br/>
        <w:t>2. Kiểm soát các hoạt động hợp pháp liên quan đến ma túy;</w:t>
        <w:br/>
        <w:t>3. Quản lý người sử dụng trái phép chất ma túy tại nơi cư trú;</w:t>
        <w:br/>
        <w:t>4. Cai nghiện ma túy các hình thức.</w:t>
      </w:r>
    </w:p>
    <w:p>
      <w:pPr>
        <w:pStyle w:val="Heading2"/>
      </w:pPr>
      <w:r>
        <w:t>Điều 7. Phối hợp trao đổi thông tin trong phòng, chống tội phạm về ma túy</w:t>
      </w:r>
    </w:p>
    <w:p>
      <w:r>
        <w:t>1. Bộ Công an chủ trì trao đổi thông tin với Bộ Quốc phòng, Bộ Tài chính, Viện kiểm sát nhân dân tối cao, Tòa án nhân dân tối cao và các cơ quan liên quan về tình hình tội phạm ma túy, phương thức, thủ đoạn hoạt động của các đường dây, tổ chức tội phạm ma túy.</w:t>
        <w:br/>
        <w:t>2. Định kỳ hàng tháng, quý, 6 tháng và năm, các cơ quan quy định tại khoản 1 Điều này báo cáo kết quả phòng, chống tội phạm về ma túy với Chính phủ.</w:t>
      </w:r>
    </w:p>
    <w:p>
      <w:pPr>
        <w:pStyle w:val="Heading2"/>
      </w:pPr>
      <w:r>
        <w:t>Điều 20. Quản lý người sử dụng trái phép chất ma túy</w:t>
      </w:r>
    </w:p>
    <w:p>
      <w:r>
        <w:t>1. Người sử dụng trái phép chất ma túy bị phát hiện phải thực hiện xét nghiệm chất ma túy trong cơ thể khi có yêu cầu của cơ quan có thẩm quyền.</w:t>
        <w:br/>
        <w:t>2. Người sử dụng trái phép chất ma túy có kết quả xét nghiệm dương tính với chất ma túy phải đăng ký, khai báo tình trạng sử dụng ma túy với Uỷ ban nhân dân cấp xã nơi cư trú hoặc nơi làm việc, học tập trong thời gian 05 ngày làm việc kể từ ngày có kết quả xét nghiệm.</w:t>
      </w:r>
    </w:p>
    <w:p>
      <w:pPr>
        <w:pStyle w:val="Heading2"/>
      </w:pPr>
      <w:r>
        <w:t>Điều 25. Cai nghiện ma túy tự nguyện tại gia đình</w:t>
      </w:r>
    </w:p>
    <w:p>
      <w:r>
        <w:t>1. Người nghiện ma túy tự nguyện cai nghiện tại gia đình phải đăng ký với Uỷ ban nhân dân cấp xã nơi người đó thường trú hoặc tạm trú.</w:t>
        <w:br/>
        <w:t>2. Hồ sơ đăng ký cai nghiện tự nguyện tại gia đình gồm:</w:t>
        <w:br/>
        <w:t>a) Đơn đăng ký cai nghiện tự nguyện tại gia đình;</w:t>
        <w:br/>
        <w:t>b) Phiếu xét nghiệm chất ma túy trong cơ thể còn giá trị sử dụng theo quy định;</w:t>
        <w:br/>
        <w:t>c) Sơ yếu lý lịch hoặc bản sao Căn cước công dân.</w:t>
        <w:br/>
        <w:t>3. Thời gian cai nghiện tại gia đình ít nhất là 06 tháng, tối đa là 12 tháng.</w:t>
      </w:r>
    </w:p>
    <w:p>
      <w:pPr>
        <w:pStyle w:val="Heading2"/>
      </w:pPr>
      <w:r>
        <w:t>Điều 40. Đưa vào cơ sở cai nghiện bắt buộc</w:t>
      </w:r>
    </w:p>
    <w:p>
      <w:r>
        <w:t>1. Người nghiện ma túy từ đủ 18 tuổi trở lên bị lập hồ sơ đề nghị áp dụng biện pháp xử lý hành chính đưa vào cơ sở cai nghiện bắt buộc khi thuộc một trong các trường hợp:</w:t>
        <w:br/>
        <w:t>a) Đã được lập hồ sơ quản lý và đang thực hiện cai nghiện tại gia đình hoặc cộng đồng nhưng tiếp tục sử dụng ma túy;</w:t>
        <w:br/>
        <w:t>b) Không đăng ký cai nghiện tự nguyện sau khi được vận động, giáo dục;</w:t>
        <w:br/>
        <w:t>c) Bỏ trốn khỏi cơ sở cai nghiện tự nguyện;</w:t>
        <w:br/>
        <w:t>d) Không có nơi cư trú ổn định.</w:t>
        <w:br/>
        <w:t>2. Thời hạn áp dụng biện pháp đưa vào cơ sở cai nghiện bắt buộc từ 12 tháng đến 24 tháng.</w:t>
      </w:r>
    </w:p>
    <w:p>
      <w:pPr>
        <w:pStyle w:val="Heading2"/>
      </w:pPr>
      <w:r>
        <w:t>Điều 55. Kinh phí thực hiện</w:t>
      </w:r>
    </w:p>
    <w:p>
      <w:r>
        <w:t>1. Kinh phí thực hiện công tác phòng, chống ma túy được bảo đảm từ ngân sách nhà nước theo phân cấp ngân sách hiện hành.</w:t>
        <w:br/>
        <w:t>2. Ngân sách trung ương bảo đảm kinh phí cho hoạt động phòng, chống ma túy của các bộ, ngành.</w:t>
        <w:br/>
        <w:t>3. Ngân sách địa phương bảo đảm kinh phí cho hoạt động phòng, chống ma túy tại địa phương, bao gồm hỗ trợ kinh phí cai nghiện tự nguyện cho người nghiện không có khả năng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