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Бізнес-цілі та критерії успіху</w:t>
      </w:r>
    </w:p>
    <w:p>
      <w:pPr>
        <w:jc w:val="center"/>
      </w:pPr>
      <w:r>
        <w:rPr>
          <w:i/>
          <w:sz w:val="20"/>
        </w:rPr>
        <w:t>Atelier Sveta — школа художніх мистецтв, Ганж, Франція</w:t>
      </w:r>
    </w:p>
    <w:p/>
    <w:p>
      <w:pPr>
        <w:pStyle w:val="Heading1"/>
      </w:pPr>
      <w:r>
        <w:t>1. Контекст проєкту</w:t>
      </w:r>
    </w:p>
    <w:p>
      <w:r>
        <w:t>Atelier Sveta — школа художніх мистецтв у Ганжі, Франція. Проєкт включає публічний сайт і окрему адміністративну панель. Сайт спочатку проєктується українською, після погодження контент перекладається французькою. Французька версія буде основною для production-сайту.</w:t>
      </w:r>
    </w:p>
    <w:p>
      <w:pPr>
        <w:pStyle w:val="Heading1"/>
      </w:pPr>
      <w:r>
        <w:t>2. Основні бізнес-цілі</w:t>
      </w:r>
    </w:p>
    <w:p>
      <w:pPr>
        <w:pStyle w:val="ListBullet"/>
      </w:pPr>
      <w:r>
        <w:t>Просування групових курсів малювання для дорослих і дітей.</w:t>
      </w:r>
    </w:p>
    <w:p>
      <w:pPr>
        <w:pStyle w:val="ListBullet"/>
      </w:pPr>
      <w:r>
        <w:t>Залучення заявок на індивідуальні уроки малювання.</w:t>
      </w:r>
    </w:p>
    <w:p>
      <w:pPr>
        <w:pStyle w:val="ListBullet"/>
      </w:pPr>
      <w:r>
        <w:t>Просування майстер-класів, пленерів і виїзних занять на природі.</w:t>
      </w:r>
    </w:p>
    <w:p>
      <w:pPr>
        <w:pStyle w:val="ListBullet"/>
      </w:pPr>
      <w:r>
        <w:t>Регулярне інформування про благодійні заняття для дітей і дорослих, що проводяться раз на місяць.</w:t>
      </w:r>
    </w:p>
    <w:p>
      <w:pPr>
        <w:pStyle w:val="ListBullet"/>
      </w:pPr>
      <w:r>
        <w:t>Просування школи іконопису як окремого напряму екосистеми Atelier Sveta.</w:t>
      </w:r>
    </w:p>
    <w:p>
      <w:pPr>
        <w:pStyle w:val="ListBullet"/>
      </w:pPr>
      <w:r>
        <w:t>Формування довіри через презентацію викладача, методики, атмосфери школи та робіт учнів.</w:t>
      </w:r>
    </w:p>
    <w:p>
      <w:pPr>
        <w:pStyle w:val="ListBullet"/>
      </w:pPr>
      <w:r>
        <w:t>Зниження операційного навантаження завдяки актуальному розкладу, цінам, FAQ і формам заявок.</w:t>
      </w:r>
    </w:p>
    <w:p>
      <w:pPr>
        <w:pStyle w:val="ListBullet"/>
      </w:pPr>
      <w:r>
        <w:t>Розвиток локального творчого ком’юніті у Ганжі та навколишньому регіоні.</w:t>
      </w:r>
    </w:p>
    <w:p>
      <w:pPr>
        <w:pStyle w:val="ListBullet"/>
      </w:pPr>
      <w:r>
        <w:t>Просування партнерських і корпоративних майстер-класів.</w:t>
      </w:r>
    </w:p>
    <w:p>
      <w:pPr>
        <w:pStyle w:val="ListBullet"/>
      </w:pPr>
      <w:r>
        <w:t>Підтримка повторних продажів через нові курси, події, подарункові сертифікати та підписку на анонси.</w:t>
      </w:r>
    </w:p>
    <w:p>
      <w:pPr>
        <w:pStyle w:val="Heading1"/>
      </w:pPr>
      <w:r>
        <w:t>3. Ключові конверсії</w:t>
      </w:r>
    </w:p>
    <w:p>
      <w:pPr>
        <w:pStyle w:val="ListBullet"/>
      </w:pPr>
      <w:r>
        <w:t>Заявка на конкретний курс.</w:t>
      </w:r>
    </w:p>
    <w:p>
      <w:pPr>
        <w:pStyle w:val="ListBullet"/>
      </w:pPr>
      <w:r>
        <w:t>Запис на індивідуальний урок.</w:t>
      </w:r>
    </w:p>
    <w:p>
      <w:pPr>
        <w:pStyle w:val="ListBullet"/>
      </w:pPr>
      <w:r>
        <w:t>Реєстрація на майстер-клас або пленер.</w:t>
      </w:r>
    </w:p>
    <w:p>
      <w:pPr>
        <w:pStyle w:val="ListBullet"/>
      </w:pPr>
      <w:r>
        <w:t>Запис у лист очікування.</w:t>
      </w:r>
    </w:p>
    <w:p>
      <w:pPr>
        <w:pStyle w:val="ListBullet"/>
      </w:pPr>
      <w:r>
        <w:t>Підписка на новини та анонси.</w:t>
      </w:r>
    </w:p>
    <w:p>
      <w:pPr>
        <w:pStyle w:val="ListBullet"/>
      </w:pPr>
      <w:r>
        <w:t>Запит на корпоративний або партнерський захід.</w:t>
      </w:r>
    </w:p>
    <w:p>
      <w:pPr>
        <w:pStyle w:val="ListBullet"/>
      </w:pPr>
      <w:r>
        <w:t>Замовлення подарункового сертифіката.</w:t>
      </w:r>
    </w:p>
    <w:p>
      <w:pPr>
        <w:pStyle w:val="ListBullet"/>
      </w:pPr>
      <w:r>
        <w:t>Перехід на лендинг школи іконопису.</w:t>
      </w:r>
    </w:p>
    <w:p>
      <w:pPr>
        <w:pStyle w:val="Heading1"/>
      </w:pPr>
      <w:r>
        <w:t>4. Критерії успіху</w:t>
      </w:r>
    </w:p>
    <w:p>
      <w:pPr>
        <w:pStyle w:val="ListBullet"/>
      </w:pPr>
      <w:r>
        <w:t>Кількість валідних заявок на місяць.</w:t>
      </w:r>
    </w:p>
    <w:p>
      <w:pPr>
        <w:pStyle w:val="ListBullet"/>
      </w:pPr>
      <w:r>
        <w:t>Конверсія сторінок курсів і подій у відправлену форму.</w:t>
      </w:r>
    </w:p>
    <w:p>
      <w:pPr>
        <w:pStyle w:val="ListBullet"/>
      </w:pPr>
      <w:r>
        <w:t>Заповнюваність груп і майстер-класів.</w:t>
      </w:r>
    </w:p>
    <w:p>
      <w:pPr>
        <w:pStyle w:val="ListBullet"/>
      </w:pPr>
      <w:r>
        <w:t>Кількість записів у лист очікування.</w:t>
      </w:r>
    </w:p>
    <w:p>
      <w:pPr>
        <w:pStyle w:val="ListBullet"/>
      </w:pPr>
      <w:r>
        <w:t>Частка заявок із Google, Instagram, Google Maps, партнерських каналів і QR-кодів.</w:t>
      </w:r>
    </w:p>
    <w:p>
      <w:pPr>
        <w:pStyle w:val="ListBullet"/>
      </w:pPr>
      <w:r>
        <w:t>Кількість підписок на новини.</w:t>
      </w:r>
    </w:p>
    <w:p>
      <w:pPr>
        <w:pStyle w:val="ListBullet"/>
      </w:pPr>
      <w:r>
        <w:t>Кількість переходів на напрям іконопису.</w:t>
      </w:r>
    </w:p>
    <w:p>
      <w:pPr>
        <w:pStyle w:val="ListBullet"/>
      </w:pPr>
      <w:r>
        <w:t>Зменшення повторюваних запитань у месенджерах.</w:t>
      </w:r>
    </w:p>
    <w:p>
      <w:pPr>
        <w:pStyle w:val="Heading1"/>
      </w:pPr>
      <w:r>
        <w:t>5. Обмеження першої версії</w:t>
      </w:r>
    </w:p>
    <w:p>
      <w:pPr>
        <w:pStyle w:val="ListBullet"/>
      </w:pPr>
      <w:r>
        <w:t>Редагування структури сторінок, глобальних текстових блоків і системних посилань не входить до адмінки.</w:t>
      </w:r>
    </w:p>
    <w:p>
      <w:pPr>
        <w:pStyle w:val="ListBullet"/>
      </w:pPr>
      <w:r>
        <w:t>Для MVP реєстрація працює за моделлю: заявка → перевірка адміністратором → підтвердження.</w:t>
      </w:r>
    </w:p>
    <w:p>
      <w:pPr>
        <w:pStyle w:val="ListBullet"/>
      </w:pPr>
      <w:r>
        <w:t>Онлайн-оплата, автоматичні повернення та складна логіка бронювання можуть бути винесені у Phase 2.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