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Позиціонування та Tone of Voice</w:t>
      </w:r>
    </w:p>
    <w:p>
      <w:pPr>
        <w:jc w:val="center"/>
      </w:pPr>
      <w:r>
        <w:rPr>
          <w:i/>
          <w:sz w:val="20"/>
        </w:rPr>
        <w:t>Atelier Sveta — школа художніх мистецтв, Ганж, Франція</w:t>
      </w:r>
    </w:p>
    <w:p/>
    <w:p>
      <w:pPr>
        <w:pStyle w:val="Heading1"/>
      </w:pPr>
      <w:r>
        <w:t>1. Робоче позиціонування</w:t>
      </w:r>
    </w:p>
    <w:p>
      <w:r>
        <w:t>Atelier Sveta — локальна школа художніх мистецтв у Ганжі, де діти й дорослі можуть навчатися малюванню у професійній, теплій та підтримувальній атмосфері — від першого знайомства з мистецтвом до поглибленої практики, майстер-класів, пленерів та іконопису.</w:t>
      </w:r>
    </w:p>
    <w:p>
      <w:pPr>
        <w:pStyle w:val="Heading1"/>
      </w:pPr>
      <w:r>
        <w:t>2. Ціннісна пропозиція</w:t>
      </w:r>
    </w:p>
    <w:p>
      <w:r>
        <w:t>Професійне художнє навчання без страху помилитися, з персональною увагою, живою практикою та відчуттям спільноти.</w:t>
      </w:r>
    </w:p>
    <w:p>
      <w:pPr>
        <w:pStyle w:val="Heading1"/>
      </w:pPr>
      <w:r>
        <w:t>3. Ключові переваги</w:t>
      </w:r>
    </w:p>
    <w:p>
      <w:pPr>
        <w:pStyle w:val="ListBullet"/>
      </w:pPr>
      <w:r>
        <w:t>Курси для різного віку та рівня.</w:t>
      </w:r>
    </w:p>
    <w:p>
      <w:pPr>
        <w:pStyle w:val="ListBullet"/>
      </w:pPr>
      <w:r>
        <w:t>Групові й індивідуальні формати.</w:t>
      </w:r>
    </w:p>
    <w:p>
      <w:pPr>
        <w:pStyle w:val="ListBullet"/>
      </w:pPr>
      <w:r>
        <w:t>Практичне навчання через реальні роботи й проєкти.</w:t>
      </w:r>
    </w:p>
    <w:p>
      <w:pPr>
        <w:pStyle w:val="ListBullet"/>
      </w:pPr>
      <w:r>
        <w:t>Майстер-класи, пленери та виїзні події.</w:t>
      </w:r>
    </w:p>
    <w:p>
      <w:pPr>
        <w:pStyle w:val="ListBullet"/>
      </w:pPr>
      <w:r>
        <w:t>Соціальна місія та щомісячні благодійні заняття.</w:t>
      </w:r>
    </w:p>
    <w:p>
      <w:pPr>
        <w:pStyle w:val="ListBullet"/>
      </w:pPr>
      <w:r>
        <w:t>Окремий напрям іконопису.</w:t>
      </w:r>
    </w:p>
    <w:p>
      <w:pPr>
        <w:pStyle w:val="ListBullet"/>
      </w:pPr>
      <w:r>
        <w:t>Локальна присутність у Ганжі та камерна атмосфера.</w:t>
      </w:r>
    </w:p>
    <w:p>
      <w:pPr>
        <w:pStyle w:val="Heading1"/>
      </w:pPr>
      <w:r>
        <w:t>4. Характер бренду</w:t>
      </w:r>
    </w:p>
    <w:p>
      <w:pPr>
        <w:pStyle w:val="ListBullet"/>
      </w:pPr>
      <w:r>
        <w:t>Теплий, але не фамільярний.</w:t>
      </w:r>
    </w:p>
    <w:p>
      <w:pPr>
        <w:pStyle w:val="ListBullet"/>
      </w:pPr>
      <w:r>
        <w:t>Професійний, але не академічно холодний.</w:t>
      </w:r>
    </w:p>
    <w:p>
      <w:pPr>
        <w:pStyle w:val="ListBullet"/>
      </w:pPr>
      <w:r>
        <w:t>Надихаючий, але без пафосу.</w:t>
      </w:r>
    </w:p>
    <w:p>
      <w:pPr>
        <w:pStyle w:val="ListBullet"/>
      </w:pPr>
      <w:r>
        <w:t>Доступний і зрозумілий.</w:t>
      </w:r>
    </w:p>
    <w:p>
      <w:pPr>
        <w:pStyle w:val="ListBullet"/>
      </w:pPr>
      <w:r>
        <w:t>Уважний до індивідуальності кожного учня.</w:t>
      </w:r>
    </w:p>
    <w:p>
      <w:pPr>
        <w:pStyle w:val="ListBullet"/>
      </w:pPr>
      <w:r>
        <w:t>Культурний, делікатний і сучасний.</w:t>
      </w:r>
    </w:p>
    <w:p>
      <w:pPr>
        <w:pStyle w:val="Heading1"/>
      </w:pPr>
      <w:r>
        <w:t>5. Tone of Voice</w:t>
      </w:r>
    </w:p>
    <w:p>
      <w:pPr>
        <w:pStyle w:val="ListBullet"/>
      </w:pPr>
      <w:r>
        <w:t>Говоримо просто, людяно та конкретно.</w:t>
      </w:r>
    </w:p>
    <w:p>
      <w:pPr>
        <w:pStyle w:val="ListBullet"/>
      </w:pPr>
      <w:r>
        <w:t>Пояснюємо користь через досвід учня, а не через абстрактні обіцянки.</w:t>
      </w:r>
    </w:p>
    <w:p>
      <w:pPr>
        <w:pStyle w:val="ListBullet"/>
      </w:pPr>
      <w:r>
        <w:t>Не оцінюємо талант і не створюємо страх “я недостатньо здібний”.</w:t>
      </w:r>
    </w:p>
    <w:p>
      <w:pPr>
        <w:pStyle w:val="ListBullet"/>
      </w:pPr>
      <w:r>
        <w:t>Запрошуємо й підтримуємо замість тиску та агресивних продажів.</w:t>
      </w:r>
    </w:p>
    <w:p>
      <w:pPr>
        <w:pStyle w:val="ListBullet"/>
      </w:pPr>
      <w:r>
        <w:t>Зберігаємо повагу до мистецтва, традицій та культурного контексту.</w:t>
      </w:r>
    </w:p>
    <w:p>
      <w:pPr>
        <w:pStyle w:val="Heading1"/>
      </w:pPr>
      <w:r>
        <w:t>6. Приклади формулювань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9E9"/>
          </w:tcPr>
          <w:p>
            <w:r>
              <w:t>Використовуємо</w:t>
            </w:r>
          </w:p>
        </w:tc>
        <w:tc>
          <w:tcPr>
            <w:tcW w:type="dxa" w:w="4968"/>
            <w:shd w:fill="E9E9E9"/>
          </w:tcPr>
          <w:p>
            <w:r>
              <w:t>Уникаємо</w:t>
            </w:r>
          </w:p>
        </w:tc>
      </w:tr>
      <w:tr>
        <w:tc>
          <w:tcPr>
            <w:tcW w:type="dxa" w:w="4968"/>
          </w:tcPr>
          <w:p>
            <w:r>
              <w:t>Навчимося бачити форму, колір і композицію.</w:t>
            </w:r>
          </w:p>
        </w:tc>
        <w:tc>
          <w:tcPr>
            <w:tcW w:type="dxa" w:w="4968"/>
          </w:tcPr>
          <w:p>
            <w:r>
              <w:t>Ви гарантовано станете художником.</w:t>
            </w:r>
          </w:p>
        </w:tc>
      </w:tr>
      <w:tr>
        <w:tc>
          <w:tcPr>
            <w:tcW w:type="dxa" w:w="4968"/>
          </w:tcPr>
          <w:p>
            <w:r>
              <w:t>Курс підходить тим, хто починає з нуля.</w:t>
            </w:r>
          </w:p>
        </w:tc>
        <w:tc>
          <w:tcPr>
            <w:tcW w:type="dxa" w:w="4968"/>
          </w:tcPr>
          <w:p>
            <w:r>
              <w:t>Талант не потрібен взагалі.</w:t>
            </w:r>
          </w:p>
        </w:tc>
      </w:tr>
      <w:tr>
        <w:tc>
          <w:tcPr>
            <w:tcW w:type="dxa" w:w="4968"/>
          </w:tcPr>
          <w:p>
            <w:r>
              <w:t>Місце для практики, пошуку й творчого розвитку.</w:t>
            </w:r>
          </w:p>
        </w:tc>
        <w:tc>
          <w:tcPr>
            <w:tcW w:type="dxa" w:w="4968"/>
          </w:tcPr>
          <w:p>
            <w:r>
              <w:t>Найкраща художня школа регіону.</w:t>
            </w:r>
          </w:p>
        </w:tc>
      </w:tr>
      <w:tr>
        <w:tc>
          <w:tcPr>
            <w:tcW w:type="dxa" w:w="4968"/>
          </w:tcPr>
          <w:p>
            <w:r>
              <w:t>Запишіться на знайомство з курсом.</w:t>
            </w:r>
          </w:p>
        </w:tc>
        <w:tc>
          <w:tcPr>
            <w:tcW w:type="dxa" w:w="4968"/>
          </w:tcPr>
          <w:p>
            <w:r>
              <w:t>Купуйте зараз, поки не пізно.</w:t>
            </w:r>
          </w:p>
        </w:tc>
      </w:tr>
    </w:tbl>
    <w:p>
      <w:pPr>
        <w:pStyle w:val="Heading1"/>
      </w:pPr>
      <w:r>
        <w:t>7. Локалізація</w:t>
      </w:r>
    </w:p>
    <w:p>
      <w:r>
        <w:t>Українська версія є master-контентом для дизайну та погодження. Після затвердження тексти перекладаються французькою і проходять перевірку носієм або професійним редактором. Французький текст не повинен бути буквальним перекладом — важливо зберегти позиціонування, природність і локальний контекст.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