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VBC Revenue Modeler</w:t>
      </w:r>
    </w:p>
    <w:p>
      <w:pPr>
        <w:spacing w:after="100"/>
        <w:jc w:val="center"/>
      </w:pPr>
      <w:r>
        <w:rPr>
          <w:rFonts w:ascii="Arial" w:cs="Arial" w:eastAsia="Arial" w:hAnsi="Arial"/>
          <w:color w:val="00A882"/>
          <w:sz w:val="28"/>
          <w:szCs w:val="28"/>
        </w:rPr>
        <w:t xml:space="preserve">Estimation Methodology &amp; Assumptions Defense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Updated February 2026 — Year 1 Conservative Projections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The InPursuit VBC Revenue Modeler projects incremental revenue available to healthcare providers through nine distinct CMS payment programs. All projections use </w:t>
      </w:r>
      <w:r>
        <w:rPr>
          <w:b/>
          <w:bCs/>
          <w:sz w:val="22"/>
          <w:szCs w:val="22"/>
        </w:rPr>
        <w:t xml:space="preserve">Year 1 conservative assumptions</w:t>
      </w:r>
      <w:r>
        <w:rPr>
          <w:sz w:val="22"/>
          <w:szCs w:val="22"/>
        </w:rPr>
        <w:t xml:space="preserve"> — enrollment rates below industry top-performers, median reimbursement levels, and realistic ramp timelines. The modeler is designed for initial conversations with prospective partners; actual projections will be refined during onboarding using practice-specific claims data.</w:t>
      </w:r>
    </w:p>
    <w:p>
      <w:pPr>
        <w:pStyle w:val="Heading1"/>
      </w:pPr>
      <w:r>
        <w:t xml:space="preserve">Data Sources</w:t>
      </w:r>
    </w:p>
    <w:p>
      <w:pPr>
        <w:pStyle w:val="Heading2"/>
      </w:pPr>
      <w:r>
        <w:t xml:space="preserve">CMS Billing Data Integration</w:t>
      </w:r>
    </w:p>
    <w:p>
      <w:pPr>
        <w:spacing w:after="100"/>
      </w:pPr>
      <w:r>
        <w:rPr>
          <w:sz w:val="22"/>
          <w:szCs w:val="22"/>
        </w:rPr>
        <w:t xml:space="preserve">When a provider enters their NPI, the modeler retrieves actual Medicare billing history from two CMS public datasets: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Medicare Physician &amp; Other Practitioners — by Provider: </w:t>
      </w:r>
      <w:r>
        <w:rPr>
          <w:sz w:val="20"/>
          <w:szCs w:val="20"/>
        </w:rPr>
        <w:t xml:space="preserve">Aggregate Medicare payments, beneficiary count, and total services rendered. Dataset UUID: 8889d81e-2ee7-448f-8713-f071038289b5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Medicare Physician &amp; Other Practitioners — by Provider and Service: </w:t>
      </w:r>
      <w:r>
        <w:rPr>
          <w:sz w:val="20"/>
          <w:szCs w:val="20"/>
        </w:rPr>
        <w:t xml:space="preserve">HCPCS code-level breakdown showing exactly which VBC codes the provider is already billing. Dataset UUID: 92396110-2aed-4d63-a6a2-5d6207d46a29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This data reflects a ~18 month lag (currently showing CY2023). When CMS data is available, the modeler auto-populates practice assumptions from real data rather than specialty averages.</w:t>
      </w:r>
    </w:p>
    <w:p>
      <w:pPr>
        <w:pStyle w:val="Heading2"/>
      </w:pPr>
      <w:r>
        <w:t xml:space="preserve">HCPCS Codes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99490, 99491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Chronic Care Management — monthly non-face-to-face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99453, 99454, 99457, 99458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Remote Patient Monitoring — device setup, monthly transmission, clinical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G0438, G0439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 Wellness Visit — initial and subsequent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99495, 99496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Transitional Care Management — 7-day and 14-day post-discharge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99484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Behavioral Health Integration — monthly psychiatric collaborative care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External Sources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CMS 2025 Physician Fee Schedule (Final Rule) — reimbursement rates for all HCPCS codes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CMS MSSP PY2023 Financial Performance Results — shared savings benchmarks by ACO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CMS ACCESS Model Final Rule (2025) — $47 PMPM OAP, population health parameters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CMS QPP Experience Report 2024 — MIPS adjustment distributions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KFF Medicare Advantage 2025 Report — MA VBC PMPM benchmarks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AMA Digital Health Survey 2024 — RPM adoption and compliance rates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HealthLeaders CCM Enrollment Report 2024 — industry enrollment benchmarks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NPPES NPI Registry — provider demographics, specialty, practice location</w:t>
      </w:r>
    </w:p>
    <w:p>
      <w:r>
        <w:br w:type="page"/>
      </w:r>
    </w:p>
    <w:p>
      <w:pPr>
        <w:pStyle w:val="Heading1"/>
      </w:pPr>
      <w:r>
        <w:t xml:space="preserve">Program-by-Program Assumptions</w:t>
      </w:r>
    </w:p>
    <w:p>
      <w:pPr>
        <w:spacing w:after="200"/>
      </w:pPr>
      <w:r>
        <w:rPr>
          <w:sz w:val="22"/>
          <w:szCs w:val="22"/>
        </w:rPr>
        <w:t xml:space="preserve">All formulas use the following base variables derived from practice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mF (Medicare FFS)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Patients × Medicare FFS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Slider or CMS beneficiary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 (Medicare Adv)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Patients × MA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Slider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(Chronic)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mF × Chronic Condition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Slider (default 70%)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pb (Part 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 Part B billing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Slider or CMS total payment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CCM (99490)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 enrolled × 65% compliant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$62/mo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2025 Fee Schedule: 99490 = $62.69. Enrollment: HealthLeaders 2024 industry avg 3-6%.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Conservative — industry leaders achieve 8-12%.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RPM (99453-58)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4% with devices × 70%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$55/mo blended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2025: 99454=$50.94, 99457=$48.56, 99458=$38.64. AMA Digital Health Survey 2024.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Blended avg across setup + monthly + addl 20min codes.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AWV (G0438/39)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$155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2025: G0438=$186.30 (initial), G0439=$131.44 (subsequent). National avg completion 38%.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50% is achievable with outreach; top practices reach 60%.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TCM (99495/96)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2% per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$195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2025: 99495=$177.08, 99496=$237.68. Hospital discharge rates from AHA 2024.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Depends on discharge volume from affiliated hospitals.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BHI (99484)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3% enrolled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$68/mo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2025: 99484=$67.89. Enrollment limited by behavioral health staffing.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Lower enrollment due to staffing requirements.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MSSP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$80/attributed bene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PY2023 results: median ACO savings $50-150/bene. Top decile exceeds $300.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Requires ACO participation. $80 is median, not aspirational.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MIPS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1.5% adjustment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Part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2025 MIPS: max +9%, but median performers earn 1-3%. QPP Experience Report 2024.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Conservative — assumes good but not exceptional scores.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MA Quality VBC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 PMPM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MA patient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KFF Medicare Advantage 2025. PMPM varies $5-25 by plan and quality tier.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Provider share of quality bonuses; varies by MA contract.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ACCESS (OAP)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25% Yr1 enrollment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$47 PMPM ×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CMS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CMS ACCESS Model: $47 OAP PMPM (Final Rule 2025). 70% provider share per model design.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Year 1 ramp — new program. Enrollment grows in subsequent years.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Revenue Split &amp; Fee Structure</w:t>
      </w:r>
    </w:p>
    <w:p>
      <w:pPr>
        <w:spacing w:after="200"/>
      </w:pPr>
      <w:r>
        <w:rPr>
          <w:sz w:val="22"/>
          <w:szCs w:val="22"/>
        </w:rPr>
        <w:t xml:space="preserve">InPursuit’s fee is applied to total projected VBC revenue. The fee covers enrollment management, TETRA platform access, compliance monitoring, billing submission, and ongoing program optimization. Fees are deducted at CMS disbursement — never from the provider’s existing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InPursuit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Keep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5A44E"/>
                <w:sz w:val="18"/>
                <w:szCs w:val="18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A882"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5A44E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A882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5A44E"/>
                <w:sz w:val="18"/>
                <w:szCs w:val="18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A882"/>
                <w:sz w:val="18"/>
                <w:szCs w:val="18"/>
              </w:rPr>
              <w:t xml:space="preserve">75%</w:t>
            </w:r>
          </w:p>
        </w:tc>
      </w:tr>
    </w:tbl>
    <w:p>
      <w:pPr>
        <w:pStyle w:val="Heading1"/>
        <w:spacing w:before="300"/>
      </w:pPr>
      <w:r>
        <w:t xml:space="preserve">Key Disclaimers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Projections are estimates only. </w:t>
      </w:r>
      <w:r>
        <w:rPr>
          <w:sz w:val="20"/>
          <w:szCs w:val="20"/>
        </w:rPr>
        <w:t xml:space="preserve">Actual revenue depends on patient enrollment, compliance rates, payer contracts, and CMS policy changes. Results will be refined during onboarding with practice-specific claims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CMS data has an ~18 month lag. </w:t>
      </w:r>
      <w:r>
        <w:rPr>
          <w:sz w:val="20"/>
          <w:szCs w:val="20"/>
        </w:rPr>
        <w:t xml:space="preserve">Billing history reflects CY2023. Current practice volumes may differ.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MSSP requires ACO membership. </w:t>
      </w:r>
      <w:r>
        <w:rPr>
          <w:sz w:val="20"/>
          <w:szCs w:val="20"/>
        </w:rPr>
        <w:t xml:space="preserve">Shared savings projections assume the provider participates in or joins an ACO.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ACCESS Model has not yet launched. </w:t>
      </w:r>
      <w:r>
        <w:rPr>
          <w:sz w:val="20"/>
          <w:szCs w:val="20"/>
        </w:rPr>
        <w:t xml:space="preserve">Cohort 1 applications due March 20, 2026 for July 5, 2026 start. Revenue projections are based on the CMS Final Rule parameters and assume Year 1 enrollment ramp.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Programs are not mutually exclusive. </w:t>
      </w:r>
      <w:r>
        <w:rPr>
          <w:sz w:val="20"/>
          <w:szCs w:val="20"/>
        </w:rPr>
        <w:t xml:space="preserve">A single beneficiary may generate revenue across multiple programs (e.g., CCM + RPM + AWV). The modeler does not double-count beneficiaries but does stack eligible program revenue.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Year 1 assumptions only. </w:t>
      </w:r>
      <w:r>
        <w:rPr>
          <w:sz w:val="20"/>
          <w:szCs w:val="20"/>
        </w:rPr>
        <w:t xml:space="preserve">Enrollment rates, compliance, and program maturity typically improve in Years 2-3. These projections represent the conservative floor, not the ceiling.</w:t>
      </w:r>
    </w:p>
    <w:p>
      <w:pPr>
        <w:spacing w:before="400"/>
        <w:jc w:val="center"/>
      </w:pPr>
      <w:r>
        <w:rPr>
          <w:color w:val="666666"/>
          <w:sz w:val="18"/>
          <w:szCs w:val="18"/>
        </w:rPr>
        <w:t xml:space="preserve">© 2026 InPursuit Health, LLC — Veteran-Owned | Data Never Resold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InPursuit Health, LLC |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InPursuit Health — VBC Revenue Modeler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A8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A4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2026-02-27T09:02:11.989Z</dcterms:created>
  <dcterms:modified xsi:type="dcterms:W3CDTF">2026-02-27T09:02:11.990Z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