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f0860409db7e21375b3f2b550b20ded282a3cb6"/>
    <w:p>
      <w:pPr>
        <w:pStyle w:val="Heading1"/>
      </w:pPr>
      <w:r>
        <w:t xml:space="preserve">Część VI: Całka Nieoznaczona i Techniki Całkowania</w:t>
      </w:r>
    </w:p>
    <w:p>
      <w:pPr>
        <w:pStyle w:val="FirstParagraph"/>
      </w:pPr>
      <w:r>
        <w:t xml:space="preserve">Podczas gdy rachunek różniczkowy polega na wyznaczaniu tempa zmian funkcji i opiera się na algorytmicznych, mechanicznych regułach (pochodna iloczynu, ilorazu, złożenia), rachunek całkowy jest operacją odwrotną, wymagającą rozpoznawania struktur algebraicznych i doboru właściwych przekształceń funkcyjnych. W elektrotechnice i teorii sygnałów całkowanie jest operacją akumulacji: ładunku z prądu (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), strumienia magnetycznego z napięcia indukowanego (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), a także stanowi rdzeń wyznaczania odpowiedzi impulsowej i transmitancji układów dynamicznych.</w:t>
      </w:r>
    </w:p>
    <w:p>
      <w:r>
        <w:pict>
          <v:rect style="width:0;height:1.5pt" o:hralign="center" o:hrstd="t" o:hr="t"/>
        </w:pict>
      </w:r>
    </w:p>
    <w:bookmarkStart w:id="16" w:name="Xdcf2fcadfa3c039d6db6c2915d7e3d2a139dafb"/>
    <w:p>
      <w:pPr>
        <w:pStyle w:val="Heading2"/>
      </w:pPr>
      <w:r>
        <w:t xml:space="preserve">Rozdział 12: Pojęcie funkcji pierwotnej i całki nieoznaczonej</w:t>
      </w:r>
    </w:p>
    <w:bookmarkStart w:id="11" w:name="X4d772f5444c6bb5699ef6fe87e73864635a0270"/>
    <w:p>
      <w:pPr>
        <w:pStyle w:val="Heading3"/>
      </w:pPr>
      <w:r>
        <w:t xml:space="preserve">12.1. Definicja funkcji pierwotnej i całki nieoznaczonej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będzie określona na przedziale</w:t>
      </w:r>
      <w:r>
        <w:t xml:space="preserve"> </w:t>
      </w:r>
      <m:oMath>
        <m:r>
          <m:t>I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9" w:name="definicja-12.1-funkcja-pierwotna"/>
    <w:p>
      <w:pPr>
        <w:pStyle w:val="Heading4"/>
      </w:pPr>
      <w:r>
        <w:t xml:space="preserve">Definicja 12.1 (Funkcja pierwotna)</w:t>
      </w:r>
    </w:p>
    <w:p>
      <w:pPr>
        <w:pStyle w:val="FirstParagraph"/>
      </w:pPr>
      <w:r>
        <w:t xml:space="preserve">Funkcję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I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funkcją pierwotną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t>I</m:t>
        </m:r>
      </m:oMath>
      <w:r>
        <w:t xml:space="preserve">, 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każdym punkcie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oraz: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12.1 (O jednoznaczności funkcji pierwotnej z dokładnością do stałej):</w:t>
      </w:r>
      <w:r>
        <w:br/>
      </w:r>
      <w:r>
        <w:t xml:space="preserve">Jeżeli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funkcją pierwotną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t>I</m:t>
        </m:r>
      </m:oMath>
      <w:r>
        <w:t xml:space="preserve">, to:</w:t>
      </w:r>
      <w:r>
        <w:t xml:space="preserve"> </w:t>
      </w:r>
      <w:r>
        <w:t xml:space="preserve">1. Dla dowolnej stałej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funkcja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jest również funkcją pierwotną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Każda funkcja pierwotna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 postać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1.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2. Niech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będą dwiema funkcjami pierwotnymi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t>I</m:t>
        </m:r>
      </m:oMath>
      <w:r>
        <w:t xml:space="preserve">. Rozpatrzmy funkcję różnicową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Wtedy 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F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Z twierdzenia Lagrange’a o wartości średniej, jeżeli pochodna funkcji na przedziale jest tożsamościowo równa zeru, to funkcja ta jest stała: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C</m:t>
        </m:r>
      </m:oMath>
      <w:r>
        <w:t xml:space="preserve">. Stąd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bookmarkEnd w:id="9"/>
    <w:bookmarkStart w:id="10" w:name="definicja-12.2-całka-nieoznaczona"/>
    <w:p>
      <w:pPr>
        <w:pStyle w:val="Heading4"/>
      </w:pPr>
      <w:r>
        <w:t xml:space="preserve">Definicja 12.2 (Całka nieoznaczona)</w:t>
      </w:r>
    </w:p>
    <w:p>
      <w:pPr>
        <w:pStyle w:val="FirstParagraph"/>
      </w:pPr>
      <w:r>
        <w:t xml:space="preserve">Zbiór wszystkich funkcji pierwotnych 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na przedziale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całką nieoznaczoną</w:t>
      </w:r>
      <w:r>
        <w:t xml:space="preserve"> </w:t>
      </w:r>
      <w:r>
        <w:t xml:space="preserve">i zapisujemy: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Symbol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t xml:space="preserve">nazywamy znakiem całki,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– funkcją podcałkową,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– wyrażeniem podcałkowym, 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stałą całkowania.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516b1a4b95a9df83fd62c70577c4640522c62fa"/>
    <w:p>
      <w:pPr>
        <w:pStyle w:val="Heading3"/>
      </w:pPr>
      <w:r>
        <w:t xml:space="preserve">12.2. Własności całki nieoznaczonej i tablica całek elementarnych</w:t>
      </w:r>
    </w:p>
    <w:p>
      <w:pPr>
        <w:pStyle w:val="BlockText"/>
      </w:pPr>
      <w:r>
        <w:rPr>
          <w:b/>
          <w:bCs/>
        </w:rPr>
        <w:t xml:space="preserve">Twierdzenie 12.2 (Liniowość całki nieoznaczonej):</w:t>
      </w:r>
      <w:r>
        <w:br/>
      </w:r>
      <w:r>
        <w:t xml:space="preserve">Dla dowolnych stałych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∫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Start w:id="12" w:name="tablica-podstawowych-całek-elementarnych"/>
    <w:p>
      <w:pPr>
        <w:pStyle w:val="Heading4"/>
      </w:pPr>
      <w:r>
        <w:t xml:space="preserve">Tablica podstawowych całek elementarnych: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Funkcja podcałkowa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Całka nieoznaczona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Dziedzina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(lub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dla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tg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ctg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k</m:t>
              </m:r>
              <m:r>
                <m:t>π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arctg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arctg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q</m:t>
                      </m:r>
                    </m:e>
                  </m:rad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e>
              </m:ra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±</m:t>
              </m:r>
              <m:r>
                <m:t>a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sh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ch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ch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sh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X0818a33bc04d9039af121a4b2cc7f5cf92eb135"/>
    <w:p>
      <w:pPr>
        <w:pStyle w:val="Heading3"/>
      </w:pPr>
      <w:r>
        <w:t xml:space="preserve">12.3. Dwie fundamentalne metody: przez części i przez podstawienie</w:t>
      </w:r>
    </w:p>
    <w:p>
      <w:pPr>
        <w:pStyle w:val="BlockText"/>
      </w:pPr>
      <w:r>
        <w:rPr>
          <w:b/>
          <w:bCs/>
        </w:rPr>
        <w:t xml:space="preserve">Twierdzenie 12.3 (Całkowanie przez części):</w:t>
      </w:r>
      <w:r>
        <w:br/>
      </w:r>
      <w:r>
        <w:t xml:space="preserve">Jeżeli funkcje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są różniczkowalne w sposób ciągły na przedziale</w:t>
      </w:r>
      <w:r>
        <w:t xml:space="preserve"> </w:t>
      </w:r>
      <m:oMath>
        <m:r>
          <m:t>I</m:t>
        </m:r>
      </m:oMath>
      <w:r>
        <w:t xml:space="preserve">, to: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BlockText"/>
      </w:pPr>
      <w:r>
        <w:t xml:space="preserve">w zapisie różniczkowym: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r>
            <m:t> 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Z reguły różniczkowania iloczynu: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⋅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+</m:t>
        </m:r>
        <m:r>
          <m:t>u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Całkując obie strony: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u</m:t>
          </m:r>
          <m:r>
            <m:t>v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v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∫</m:t>
          </m:r>
          <m:r>
            <m:t>u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t>u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v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∫</m:t>
          </m:r>
          <m:r>
            <m:t>u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Przenosząc składnik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na drugą stronę, otrzymujemy tezę.</w:t>
      </w:r>
      <w:r>
        <w:t xml:space="preserve"> </w:t>
      </w:r>
      <m:oMath>
        <m:r>
          <m:rPr>
            <m:sty m:val="p"/>
          </m:rPr>
          <m:t>◼</m:t>
        </m:r>
      </m:oMath>
    </w:p>
    <w:bookmarkStart w:id="14" w:name="heurystyka-doboru-funkcji-reguła-liate"/>
    <w:p>
      <w:pPr>
        <w:pStyle w:val="Heading4"/>
      </w:pPr>
      <w:r>
        <w:t xml:space="preserve">Heurystyka doboru funkcji (reguła LIATE):</w:t>
      </w:r>
    </w:p>
    <w:p>
      <w:pPr>
        <w:pStyle w:val="FirstParagraph"/>
      </w:pPr>
      <w:r>
        <w:t xml:space="preserve">Przy wyborze funkcji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(którą różniczkujemy) priorytet mają funkcje trudniejsze do bezpośredniego scałkowania: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</w:t>
      </w:r>
      <w:r>
        <w:t xml:space="preserve">ogarytmiczne (</w:t>
      </w:r>
      <m:oMath>
        <m:r>
          <m:rPr>
            <m:sty m:val="p"/>
          </m:rPr>
          <m:t>ln</m:t>
        </m:r>
        <m:r>
          <m:t>x</m:t>
        </m:r>
      </m:oMath>
      <w:r>
        <w:t xml:space="preserve">),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</w:t>
      </w:r>
      <w:r>
        <w:t xml:space="preserve">nverse trigonometric (cyklometryczne:</w:t>
      </w:r>
      <w:r>
        <w:t xml:space="preserve"> </w:t>
      </w: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arctg</m:t>
        </m:r>
        <m:r>
          <m:t>x</m:t>
        </m:r>
      </m:oMath>
      <w:r>
        <w:t xml:space="preserve">),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</w:t>
      </w:r>
      <w:r>
        <w:t xml:space="preserve">lgebraiczne (wielomiany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),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</w:t>
      </w:r>
      <w:r>
        <w:t xml:space="preserve">rygonometryczne (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t xml:space="preserve">),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</w:t>
      </w:r>
      <w:r>
        <w:t xml:space="preserve">xponential (wykładnicze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Twierdzenie 12.4 (Całkowanie przez podstawienie / zamiana zmiennych):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Postać I (podstawienie bezpośrednie):</w:t>
      </w:r>
      <w:r>
        <w:br/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∫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BlockText"/>
      </w:pPr>
      <w:r>
        <w:t xml:space="preserve">2.</w:t>
      </w:r>
      <w:r>
        <w:t xml:space="preserve"> </w:t>
      </w:r>
      <w:r>
        <w:rPr>
          <w:b/>
          <w:bCs/>
        </w:rPr>
        <w:t xml:space="preserve">Postać II (podstawienie odwrotne):</w:t>
      </w:r>
      <w:r>
        <w:br/>
      </w:r>
      <w:r>
        <w:t xml:space="preserve">Jeżeli funkcja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jest odwracalna oraz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∫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ψ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1" w:name="Xcd4cc3606080ea5428a8c293a84091f09f669ac"/>
    <w:p>
      <w:pPr>
        <w:pStyle w:val="Heading2"/>
      </w:pPr>
      <w:r>
        <w:t xml:space="preserve">Rozdział 13: Techniki całkowania wybranych klas funkcji</w:t>
      </w:r>
    </w:p>
    <w:bookmarkStart w:id="19" w:name="całkowanie-funkcji-wymiernych"/>
    <w:p>
      <w:pPr>
        <w:pStyle w:val="Heading3"/>
      </w:pPr>
      <w:r>
        <w:t xml:space="preserve">13.1. Całkowanie funkcji wymiernych</w:t>
      </w:r>
    </w:p>
    <w:p>
      <w:pPr>
        <w:pStyle w:val="FirstParagraph"/>
      </w:pPr>
      <w:r>
        <w:t xml:space="preserve">Funkcją wymierną nazywamy iloraz dwóch wielomianów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- Jeżeli</w:t>
      </w:r>
      <w:r>
        <w:t xml:space="preserve">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t xml:space="preserve"> </w:t>
      </w:r>
      <w:r>
        <w:t xml:space="preserve">(ułamek niewłaściwy), dzielimy wielomian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przez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z resztą: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deg</m:t>
          </m:r>
          <m:r>
            <m:t>Q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wielomianem (całkowalnym natychmiast).</w:t>
      </w:r>
      <w:r>
        <w:t xml:space="preserve"> </w:t>
      </w:r>
      <w:r>
        <w:t xml:space="preserve">- Zakładamy dalej, że</w:t>
      </w:r>
      <w:r>
        <w:t xml:space="preserve">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&lt;</m:t>
        </m:r>
        <m:r>
          <m:rPr>
            <m:sty m:val="p"/>
          </m:rPr>
          <m:t>deg</m:t>
        </m:r>
        <m:r>
          <m:t>Q</m:t>
        </m:r>
      </m:oMath>
      <w:r>
        <w:t xml:space="preserve"> </w:t>
      </w:r>
      <w:r>
        <w:t xml:space="preserve">(ułamek właściwy).</w:t>
      </w:r>
    </w:p>
    <w:bookmarkStart w:id="17" w:name="Xaeecac0c356ad00cf3fdd78dd316335fc4abedc"/>
    <w:p>
      <w:pPr>
        <w:pStyle w:val="Heading4"/>
      </w:pPr>
      <w:r>
        <w:t xml:space="preserve">Twierdzenie o rozkładzie na ułamki proste:</w:t>
      </w:r>
    </w:p>
    <w:p>
      <w:pPr>
        <w:pStyle w:val="FirstParagraph"/>
      </w:pPr>
      <w:r>
        <w:t xml:space="preserve">Każdy wielomian o współczynnikach rzeczywistych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rozkłada się jednoznacznie na iloczyn czynników liniowych i nierozkładalnych trójmianów kwadratowych (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…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…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Każdą funkcję wymierną właściwą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można jednoznacznie rozłożyć na sumę</w:t>
      </w:r>
      <w:r>
        <w:t xml:space="preserve"> </w:t>
      </w:r>
      <w:r>
        <w:rPr>
          <w:b/>
          <w:bCs/>
        </w:rPr>
        <w:t xml:space="preserve">ułamków prostych I i II rodzaju</w:t>
      </w:r>
      <w:r>
        <w:t xml:space="preserve">:</w:t>
      </w:r>
      <w:r>
        <w:t xml:space="preserve"> </w:t>
      </w:r>
      <w:r>
        <w:t xml:space="preserve">1. Ułamek prosty I rodzaju: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  <m:e>
                    <m:r>
                      <m:rPr>
                        <m:nor/>
                        <m:sty m:val="p"/>
                      </m:rPr>
                      <m:t>dla </m:t>
                    </m:r>
                    <m:r>
                      <m:t>k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2. Ułamek prosty II rodzaju: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q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: wydzielamy w liczniku pochodną mianownika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p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p</m:t>
                  </m:r>
                </m:num>
                <m:den>
                  <m:r>
                    <m:t>2</m:t>
                  </m:r>
                </m:den>
              </m:f>
            </m:e>
          </m:d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den>
          </m:f>
        </m:oMath>
      </m:oMathPara>
    </w:p>
    <w:p>
      <w:pPr>
        <w:pStyle w:val="FirstParagraph"/>
      </w:pPr>
      <w:r>
        <w:t xml:space="preserve">Pierwszy składnik daje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</m:oMath>
      <w:r>
        <w:t xml:space="preserve">, drugi daje funkcję</w:t>
      </w:r>
      <w:r>
        <w:t xml:space="preserve"> </w:t>
      </w:r>
      <m:oMath>
        <m:r>
          <m:rPr>
            <m:sty m:val="p"/>
          </m:rPr>
          <m:t>arctg</m:t>
        </m:r>
      </m:oMath>
      <w:r>
        <w:t xml:space="preserve">.</w:t>
      </w:r>
    </w:p>
    <w:bookmarkEnd w:id="17"/>
    <w:bookmarkStart w:id="18" w:name="Xfcc4d56f91743bbebbbb8939b58284c2dd2cc71"/>
    <w:p>
      <w:pPr>
        <w:pStyle w:val="Heading4"/>
      </w:pPr>
      <w:r>
        <w:t xml:space="preserve">Metoda wydzielania części wymiernej Ostrogradskiego:</w:t>
      </w:r>
    </w:p>
    <w:p>
      <w:pPr>
        <w:pStyle w:val="FirstParagraph"/>
      </w:pPr>
      <w:r>
        <w:t xml:space="preserve">Dla ułamków o wielokrotnych biegunach zespolonych stosuje się tożsamość Ostrogradskiego: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NWD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Wielomiany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wyznacza się przez różniczkowanie tożsamości.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ałkowanie-wyrażeń-trygonometrycznych"/>
    <w:p>
      <w:pPr>
        <w:pStyle w:val="Heading3"/>
      </w:pPr>
      <w:r>
        <w:t xml:space="preserve">13.2. Całkowanie wyrażeń trygonometrycznych</w:t>
      </w:r>
    </w:p>
    <w:p>
      <w:pPr>
        <w:pStyle w:val="FirstParagraph"/>
      </w:pPr>
      <w:r>
        <w:t xml:space="preserve">Rozważmy całkę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 gdzie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jest funkcją wymierną dwóch zmiennych.</w:t>
      </w:r>
    </w:p>
    <w:bookmarkStart w:id="20" w:name="podstawienie-uniwersalne"/>
    <w:p>
      <w:pPr>
        <w:pStyle w:val="Heading4"/>
      </w:pPr>
      <w:r>
        <w:t xml:space="preserve">1. Podstawienie uniwersalne: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tg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Ze wzorów trygonometrycznych: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Sprowadza ono każdą całkę trygonometryczną do całki z funkcji wymiernej zmiennej</w:t>
      </w:r>
      <w:r>
        <w:t xml:space="preserve"> </w:t>
      </w:r>
      <m:oMath>
        <m:r>
          <m:t>t</m:t>
        </m:r>
      </m:oMath>
      <w:r>
        <w:t xml:space="preserve">.</w:t>
      </w:r>
    </w:p>
    <w:bookmarkEnd w:id="20"/>
    <w:bookmarkStart w:id="21" w:name="X10151550c1692d01ca7b9080a69e7a3174410b5"/>
    <w:p>
      <w:pPr>
        <w:pStyle w:val="Heading4"/>
      </w:pPr>
      <w:r>
        <w:t xml:space="preserve">2. Podstawienia specjalne (szybsze i redukujące stopień):</w:t>
      </w:r>
    </w:p>
    <w:p>
      <w:pPr>
        <w:pStyle w:val="Compact"/>
        <w:numPr>
          <w:ilvl w:val="0"/>
          <w:numId w:val="1001"/>
        </w:numPr>
      </w:pPr>
      <w:r>
        <w:t xml:space="preserve">Jeżeli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(nieparzysta względem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), stosujemy: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Jeżeli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(nieparzysta względem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stosujemy: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Jeżeli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(parzysta względem obu argumentów jednocześnie):</w:t>
      </w:r>
    </w:p>
    <w:p>
      <w:pPr>
        <w:pStyle w:val="Compac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⟹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X1b89227b321d72fa5d7011435c6fa7d2a62f755"/>
    <w:p>
      <w:pPr>
        <w:pStyle w:val="Heading4"/>
      </w:pPr>
      <w:r>
        <w:t xml:space="preserve">3. Całki iloczynów funkcji trygonometrycznych (Podstawa teorii Fouriera):</w:t>
      </w:r>
    </w:p>
    <w:p>
      <w:pPr>
        <w:pStyle w:val="FirstParagraph"/>
      </w:pPr>
      <w:r>
        <w:t xml:space="preserve">Zamiana iloczynu na sumę: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α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β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α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β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α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β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da255ea4b10506d298b29c8418f03501e26fae1"/>
    <w:p>
      <w:pPr>
        <w:pStyle w:val="Heading3"/>
      </w:pPr>
      <w:r>
        <w:t xml:space="preserve">13.3. Całkowanie wyrażeń niewymiernych i podstawienia Eulera</w:t>
      </w:r>
    </w:p>
    <w:p>
      <w:pPr>
        <w:pStyle w:val="FirstParagraph"/>
      </w:pPr>
      <w:r>
        <w:t xml:space="preserve">Całki postaci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sprowadza się do całek funkcji wymiernych za pomocą</w:t>
      </w:r>
      <w:r>
        <w:t xml:space="preserve"> </w:t>
      </w:r>
      <w:r>
        <w:rPr>
          <w:b/>
          <w:bCs/>
        </w:rPr>
        <w:t xml:space="preserve">trzech klasycznych podstawień Leonharda Eulera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 podstawienie Eulera (gdy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rad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t>x</m:t>
          </m:r>
          <m:r>
            <m:t> </m:t>
          </m:r>
          <m:r>
            <m:rPr>
              <m:nor/>
              <m:sty m:val="p"/>
            </m:rPr>
            <m:t>lub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t>x</m:t>
          </m:r>
        </m:oMath>
      </m:oMathPara>
    </w:p>
    <w:p>
      <w:pPr>
        <w:numPr>
          <w:ilvl w:val="0"/>
          <w:numId w:val="1000"/>
        </w:numPr>
      </w:pPr>
      <w:r>
        <w:t xml:space="preserve">Podnosząc do kwadratu: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t</m:t>
        </m:r>
        <m:rad>
          <m:radPr>
            <m:degHide m:val="on"/>
          </m:radPr>
          <m:deg/>
          <m:e>
            <m:r>
              <m:t>a</m:t>
            </m:r>
          </m:e>
        </m:rad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Wyrazy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redukują się, co pozwala wyznaczyć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jako funkcję wymierną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II podstawienie Eulera (gdy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rad>
          <m:r>
            <m:rPr>
              <m:sty m:val="p"/>
            </m:rPr>
            <m:t>=</m:t>
          </m:r>
          <m:r>
            <m:t>x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c</m:t>
              </m:r>
            </m:e>
          </m:rad>
        </m:oMath>
      </m:oMathPara>
    </w:p>
    <w:p>
      <w:pPr>
        <w:numPr>
          <w:ilvl w:val="0"/>
          <w:numId w:val="1000"/>
        </w:numPr>
      </w:pPr>
      <w:r>
        <w:t xml:space="preserve">Podnosząc do kwadratu: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t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+</m:t>
        </m:r>
        <m:r>
          <m:t>c</m:t>
        </m:r>
      </m:oMath>
      <w:r>
        <w:t xml:space="preserve">. Redukując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 dzieląc przez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t</m:t>
          </m:r>
          <m:rad>
            <m:radPr>
              <m:degHide m:val="on"/>
            </m:radPr>
            <m:deg/>
            <m:e>
              <m:r>
                <m:t>c</m:t>
              </m:r>
            </m:e>
          </m:rad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c</m:t>
                  </m:r>
                </m:e>
              </m:rad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III podstawienie Eulera (gdy trójmian ma pierwiastki rzeczywiste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Podnosząc do kwadratu: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Dzieląc przez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9" w:name="X4fa92a223efd9ac0644c640db4e3bd979afbbd4"/>
    <w:p>
      <w:pPr>
        <w:pStyle w:val="Heading3"/>
      </w:pPr>
      <w:r>
        <w:t xml:space="preserve">13.4. Wzorcowe zadania egzaminacyjne z pełnymi rozwiązaniami</w:t>
      </w:r>
    </w:p>
    <w:bookmarkStart w:id="25" w:name="X336549cafc86518c78ba93fd36447631a74af59"/>
    <w:p>
      <w:pPr>
        <w:pStyle w:val="Heading4"/>
      </w:pPr>
      <w:r>
        <w:t xml:space="preserve">Przykład 13.1 (Całkowanie przez części - całka cykliczna)</w:t>
      </w:r>
    </w:p>
    <w:p>
      <w:pPr>
        <w:pStyle w:val="FirstParagraph"/>
      </w:pPr>
      <w:r>
        <w:t xml:space="preserve">Obliczyć całkę: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Stosujemy dwukrotnie całkowanie przez części.</w:t>
      </w:r>
      <w:r>
        <w:br/>
      </w:r>
      <w:r>
        <w:t xml:space="preserve">Krok 1: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⟹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Krok 2: Całkujemy nową całkę przez części:</w:t>
      </w:r>
      <w:r>
        <w:br/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d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⟹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I</m:t>
          </m:r>
        </m:oMath>
      </m:oMathPara>
    </w:p>
    <w:p>
      <w:pPr>
        <w:pStyle w:val="FirstParagraph"/>
      </w:pPr>
      <w:r>
        <w:t xml:space="preserve">Wstawiając do pierwszego równania: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4</m:t>
              </m:r>
            </m:den>
          </m:f>
          <m:r>
            <m:t>I</m:t>
          </m:r>
        </m:oMath>
      </m:oMathPara>
    </w:p>
    <w:p>
      <w:pPr>
        <w:pStyle w:val="FirstParagraph"/>
      </w:pPr>
      <w:r>
        <w:t xml:space="preserve">Przenosimy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t>I</m:t>
        </m:r>
      </m:oMath>
      <w:r>
        <w:t xml:space="preserve"> </w:t>
      </w:r>
      <w:r>
        <w:t xml:space="preserve">na lewą stronę: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e>
          </m:d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4</m:t>
              </m:r>
            </m:den>
          </m:f>
          <m:r>
            <m:t>I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Mnożąc przez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num>
            <m:den>
              <m:r>
                <m:t>13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przykład-13.2-rozkład-na-ułamki-proste"/>
    <w:p>
      <w:pPr>
        <w:pStyle w:val="Heading4"/>
      </w:pPr>
      <w:r>
        <w:t xml:space="preserve">Przykład 13.2 (Rozkład na ułamki proste)</w:t>
      </w:r>
    </w:p>
    <w:p>
      <w:pPr>
        <w:pStyle w:val="FirstParagraph"/>
      </w:pPr>
      <w:r>
        <w:t xml:space="preserve">Obliczyć całkę: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Postać rozkładu na ułamki proste: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Mnożąc obustronnie przez mianownik: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 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⟹</m:t>
        </m:r>
        <m:r>
          <m:t>2</m:t>
        </m:r>
        <m:r>
          <m:rPr>
            <m:sty m:val="p"/>
          </m:rPr>
          <m:t>=</m:t>
        </m:r>
        <m:r>
          <m:t>9</m:t>
        </m:r>
        <m:r>
          <m:t>A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- 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C</m:t>
        </m:r>
        <m:r>
          <m:rPr>
            <m:sty m:val="p"/>
          </m:rPr>
          <m:t>⟹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- Przyrównując współczynniki przy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w:r>
        <w:t xml:space="preserve">Całkujemy poszczególne ułamki: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Xdda1bb72ea9dbfdacf399f3ec9224a18e0f89e2"/>
    <w:p>
      <w:pPr>
        <w:pStyle w:val="Heading4"/>
      </w:pPr>
      <w:r>
        <w:t xml:space="preserve">Przykład 13.3 (Całka trygonometryczna metodą parzystości)</w:t>
      </w:r>
    </w:p>
    <w:p>
      <w:pPr>
        <w:pStyle w:val="FirstParagraph"/>
      </w:pPr>
      <w:r>
        <w:t xml:space="preserve">Obliczyć całkę: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4</m:t>
                  </m:r>
                </m:sup>
              </m:sSup>
              <m:r>
                <m:t>x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Funkcja jest parzysta względem obu argumentów (zmiana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nie zmienia znaku).</w:t>
      </w:r>
      <w:r>
        <w:br/>
      </w:r>
      <w:r>
        <w:t xml:space="preserve">Stosujemy podstawienie: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⟹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Wstawiając do całki: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num>
            <m:den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Wracając do zmiennej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sSup>
                <m:e>
                  <m:r>
                    <m:rPr>
                      <m:sty m:val="p"/>
                    </m:rPr>
                    <m:t>tg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tg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rPr>
                  <m:sty m:val="p"/>
                </m:rPr>
                <m:t>ctg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ctg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tg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przykład-13.4-podstawienie-eulera"/>
    <w:p>
      <w:pPr>
        <w:pStyle w:val="Heading4"/>
      </w:pPr>
      <w:r>
        <w:t xml:space="preserve">Przykład 13.4 (Podstawienie Eulera)</w:t>
      </w:r>
    </w:p>
    <w:p>
      <w:pPr>
        <w:pStyle w:val="FirstParagraph"/>
      </w:pPr>
      <w:r>
        <w:t xml:space="preserve">Obliczyć całkę: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Wyróżnik trójmianu: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 Ponieważ współczynnik przy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wynosi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sprowadzamy trójmian do postaci kanonicznej: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Podstawiamy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u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zadania-do-samodzielnego-rozwiązania"/>
    <w:p>
      <w:pPr>
        <w:pStyle w:val="Heading3"/>
      </w:pPr>
      <w:r>
        <w:t xml:space="preserve">13.5. Zadania do samodzielnego rozwiązania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Zadanie 13.1:</w:t>
      </w:r>
      <w:r>
        <w:t xml:space="preserve"> </w:t>
      </w:r>
      <w:r>
        <w:t xml:space="preserve">Obliczyć całkę: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Zadanie 13.2:</w:t>
      </w:r>
      <w:r>
        <w:t xml:space="preserve"> </w:t>
      </w:r>
      <w:r>
        <w:t xml:space="preserve">Obliczyć całkę: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arctg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x</m:t>
        </m:r>
        <m:r>
          <m:rPr>
            <m:sty m:val="p"/>
          </m:rPr>
          <m:t>arctg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Zadanie 13.3:</w:t>
      </w:r>
      <w:r>
        <w:t xml:space="preserve"> </w:t>
      </w:r>
      <w:r>
        <w:t xml:space="preserve">Obliczyć całkę funkcji wymiernej: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br/>
      </w:r>
      <w:r>
        <w:rPr>
          <w:i/>
          <w:iCs/>
        </w:rPr>
        <w:t xml:space="preserve">Wskazówka: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arctg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Zadanie 13.4:</w:t>
      </w:r>
      <w:r>
        <w:t xml:space="preserve"> </w:t>
      </w:r>
      <w:r>
        <w:t xml:space="preserve">Obliczyć całkę: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x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Podstawienie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Zadanie 13.5:</w:t>
      </w:r>
      <w:r>
        <w:t xml:space="preserve"> </w:t>
      </w:r>
      <w:r>
        <w:t xml:space="preserve">Obliczyć całkę: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  <w:r>
        <w:br/>
      </w:r>
      <w:r>
        <w:rPr>
          <w:i/>
          <w:iCs/>
        </w:rPr>
        <w:t xml:space="preserve">Wskazówka:</w:t>
      </w:r>
      <w:r>
        <w:t xml:space="preserve"> </w:t>
      </w:r>
      <w:r>
        <w:t xml:space="preserve">Podstawienie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arcsin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2026-09-11T18:05:47Z</dcterms:created>
  <dcterms:modified xsi:type="dcterms:W3CDTF">2026-09-11T18:05:47Z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