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d29b2dcc922204f308dc990aafd91de413e069c"/>
    <w:p>
      <w:pPr>
        <w:pStyle w:val="Heading1"/>
      </w:pPr>
      <w:r>
        <w:t xml:space="preserve">Część VII: Całka Oznaczona i Całki Niewłaściwe</w:t>
      </w:r>
    </w:p>
    <w:p>
      <w:pPr>
        <w:pStyle w:val="FirstParagraph"/>
      </w:pPr>
      <w:r>
        <w:t xml:space="preserve">Całka oznaczona Riemanna stanowi formalną matematyczną realizację procesu sumowania nieskończonej liczby nieskończenie małych wielkości. Łączy pojęcie pola pod wykresem funkcji z funkcją pierwotną poprzez Podstawowe Twierdzenie Rachunku Całkowego (wzór Newtona-Leibniza). W elektrotechnice całka oznaczona jest podstawą definiowania wartości średniej i skutecznej (RMS) przebiegów okresowych, obliczania energii pobieranej przez odbiorniki nieliniowe, bilansu cieplnego elementów półprzewodnikowych oraz wyznaczania odpowiedzi układów w dziedzinie częstotliwości za pomocą całek niewłaściwych (transformata Fouriera i Laplace’a).</w:t>
      </w:r>
    </w:p>
    <w:p>
      <w:r>
        <w:pict>
          <v:rect style="width:0;height:1.5pt" o:hralign="center" o:hrstd="t" o:hr="t"/>
        </w:pict>
      </w:r>
    </w:p>
    <w:bookmarkStart w:id="15" w:name="rozdział-14-całka-oznaczona-riemanna"/>
    <w:p>
      <w:pPr>
        <w:pStyle w:val="Heading2"/>
      </w:pPr>
      <w:r>
        <w:t xml:space="preserve">Rozdział 14: Całka oznaczona Riemanna</w:t>
      </w:r>
    </w:p>
    <w:bookmarkStart w:id="11" w:name="konstrukcja-riemanna-i-darboux"/>
    <w:p>
      <w:pPr>
        <w:pStyle w:val="Heading3"/>
      </w:pPr>
      <w:r>
        <w:t xml:space="preserve">14.1. Konstrukcja Riemanna i Darboux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ograniczona na przedziale domkniętym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).</w:t>
      </w:r>
    </w:p>
    <w:bookmarkStart w:id="9" w:name="X860242882834154e8cc66b3028e55ed7765403c"/>
    <w:p>
      <w:pPr>
        <w:pStyle w:val="Heading4"/>
      </w:pPr>
      <w:r>
        <w:t xml:space="preserve">Definicja 14.1 (Podział przedziału i sumy całkowe)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Podziałem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przedziału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nazywamy skończony zbiór punktów: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: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…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dzielący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podprzedziałów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o długościach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Średnicą podziału</w:t>
      </w:r>
      <w:r>
        <w:t xml:space="preserve"> </w:t>
      </w:r>
      <w:r>
        <w:t xml:space="preserve">nazywamy:</w:t>
      </w:r>
    </w:p>
    <w:p>
      <w:pPr>
        <w:pStyle w:val="Compac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rPr>
              <m:sty m:val="p"/>
            </m:rP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t xml:space="preserve">Wybierając w każdym podprzedziale punkt pośredni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 tworzymy</w:t>
      </w:r>
      <w:r>
        <w:t xml:space="preserve"> </w:t>
      </w:r>
      <w:r>
        <w:rPr>
          <w:b/>
          <w:bCs/>
        </w:rPr>
        <w:t xml:space="preserve">sumę całkową Riemanna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rPr>
              <m:sty m:val="p"/>
            </m:rPr>
            <m:t>Π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t xml:space="preserve">Oznaczmy kresy funkcji na podprzedziale: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inf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Dolną sumą Darboux</w:t>
      </w:r>
      <w:r>
        <w:t xml:space="preserve"> </w:t>
      </w:r>
      <w:r>
        <w:t xml:space="preserve">nazywamy: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Górną sumą Darboux</w:t>
      </w:r>
      <w:r>
        <w:t xml:space="preserve"> </w:t>
      </w:r>
      <w:r>
        <w:t xml:space="preserve">nazywamy: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Dla dowolnego podziału i wyboru punktów pośrednich: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Π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inicja-14.2-całka-oznaczona-riemanna"/>
    <w:p>
      <w:pPr>
        <w:pStyle w:val="Heading4"/>
      </w:pPr>
      <w:r>
        <w:t xml:space="preserve">Definicja 14.2 (Całka oznaczona Riemanna)</w:t>
      </w:r>
    </w:p>
    <w:p>
      <w:pPr>
        <w:pStyle w:val="FirstParagraph"/>
      </w:pPr>
      <w:r>
        <w:t xml:space="preserve">Mówimy, że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całkowalna w sensie Riemanna</w:t>
      </w:r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(co zapisujemy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), jeżeli istnieje skończona liczba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taka, że dla każdego normalnego ciągu podziałów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 i dowolnego doboru punktów pośrednich</w:t>
      </w:r>
      <w:r>
        <w:t xml:space="preserve"> </w:t>
      </w:r>
      <m:oMath>
        <m:r>
          <m:t>ξ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14.1 (Kryterium całkowalności Darboux):</w:t>
      </w:r>
      <w:r>
        <w:br/>
      </w:r>
      <w:r>
        <w:t xml:space="preserve">Funkcja ograniczona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całkowalna w sensie Riemanna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wtedy i tylko wtedy, gdy: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14.2 (Klasy funkcji całkowalnych):</w:t>
      </w:r>
      <w:r>
        <w:br/>
      </w:r>
      <w:r>
        <w:t xml:space="preserve">Następujące klasy funkcji są całkowalne w sensie Riemanna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1. Każda funkcja</w:t>
      </w:r>
      <w:r>
        <w:t xml:space="preserve"> </w:t>
      </w:r>
      <w:r>
        <w:rPr>
          <w:b/>
          <w:bCs/>
        </w:rPr>
        <w:t xml:space="preserve">ciągła</w:t>
      </w:r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2. Każda funkcja</w:t>
      </w:r>
      <w:r>
        <w:t xml:space="preserve"> </w:t>
      </w:r>
      <w:r>
        <w:rPr>
          <w:b/>
          <w:bCs/>
        </w:rPr>
        <w:t xml:space="preserve">monotoniczna</w:t>
      </w:r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3. Każda funkcja ograniczona mająca</w:t>
      </w:r>
      <w:r>
        <w:t xml:space="preserve"> </w:t>
      </w:r>
      <w:r>
        <w:rPr>
          <w:b/>
          <w:bCs/>
        </w:rPr>
        <w:t xml:space="preserve">co najwyżej przeliczalną liczbę punktów nieciągłości</w:t>
      </w:r>
      <w:r>
        <w:t xml:space="preserve"> </w:t>
      </w:r>
      <w:r>
        <w:t xml:space="preserve">(w szczególności funkcje kawałkami ciągłe z nieciągłościami skokowymi).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łasności-całki-oznaczonej"/>
    <w:p>
      <w:pPr>
        <w:pStyle w:val="Heading3"/>
      </w:pPr>
      <w:r>
        <w:t xml:space="preserve">14.2. Własności całki oznaczonej</w:t>
      </w:r>
    </w:p>
    <w:p>
      <w:pPr>
        <w:pStyle w:val="FirstParagraph"/>
      </w:pPr>
      <w:r>
        <w:t xml:space="preserve">Niech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Liniowość: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α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β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Addytywność względem przedziału:</w:t>
      </w:r>
      <w:r>
        <w:t xml:space="preserve"> </w:t>
      </w:r>
      <w:r>
        <w:t xml:space="preserve">Dla dowolnego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Monotoniczność:</w:t>
      </w:r>
      <w:r>
        <w:t xml:space="preserve"> </w:t>
      </w: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Nierówność modułowa: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x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Twierdzenie o wartości średniej:</w:t>
      </w:r>
      <w:r>
        <w:t xml:space="preserve"> </w:t>
      </w:r>
      <w:r>
        <w:t xml:space="preserve">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 istnieje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taki, że: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Liczbę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wartością średnią funkcji</w:t>
      </w:r>
      <w:r>
        <w:t xml:space="preserve"> </w:t>
      </w:r>
      <w:r>
        <w:t xml:space="preserve">na przedziale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X90cfebe4f400b4f651e207830abd1e30f3aa35b"/>
    <w:p>
      <w:pPr>
        <w:pStyle w:val="Heading3"/>
      </w:pPr>
      <w:r>
        <w:t xml:space="preserve">14.3. Podstawowe Twierdzenie Rachunku Całkowego (Wzór Newtona-Leibniza)</w:t>
      </w:r>
    </w:p>
    <w:p>
      <w:pPr>
        <w:pStyle w:val="FirstParagraph"/>
      </w:pPr>
      <w:r>
        <w:t xml:space="preserve">Rozważmy funkcję górnej granicy całkowania dla funkcji ciągłej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14.3 (Różniczkowalność całki względem górnej granicy):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to funkcja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różniczkowalna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oraz: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Oznacza to, że każda funkcja ciągła posiada funkcję pierwotną!</w:t>
      </w:r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Z definicji pochodnej i addytywności całki: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Z twierdzenia o wartości średniej dla całek istnieje punkt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leżący między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taki, że: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Gdy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to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→</m:t>
        </m:r>
        <m:r>
          <m:t>x</m:t>
        </m:r>
      </m:oMath>
      <w:r>
        <w:t xml:space="preserve">. Z ciągłości funkcji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Zatem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lockText"/>
      </w:pPr>
      <w:r>
        <w:rPr>
          <w:b/>
          <w:bCs/>
        </w:rPr>
        <w:t xml:space="preserve">Twierdzenie 14.4 (Wzór Newtona-Leibniza):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jej dowolną funkcją pierwotną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), to:</w:t>
      </w:r>
    </w:p>
    <w:p>
      <w:pPr>
        <w:pStyle w:val="Block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Ponieważ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jest funkcją pierwotną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to z Twierdzenia 12.1 dowolna inna funkcja pierwotna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różni się od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 stałą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Wstawiając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br/>
      </w:r>
      <w:r>
        <w:t xml:space="preserve">Wstawiając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⟹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bookmarkStart w:id="13" w:name="X1b6c0bcec316ca1d72760d77cab56f07edb6450"/>
    <w:p>
      <w:pPr>
        <w:pStyle w:val="Heading4"/>
      </w:pPr>
      <w:r>
        <w:t xml:space="preserve">Całkowanie przez części i przez podstawienie w całce oznaczonej: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Przez części: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Przez podstawienie (zamiana granic):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φ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φ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0" w:name="X8c6aa5d21222f3339e65b8b6427c227b3b5d9c3"/>
    <w:p>
      <w:pPr>
        <w:pStyle w:val="Heading2"/>
      </w:pPr>
      <w:r>
        <w:t xml:space="preserve">Rozdział 15: Zastosowania geometryczne i inżynierskie całki oznaczonej</w:t>
      </w:r>
    </w:p>
    <w:bookmarkStart w:id="16" w:name="obliczanie-wielkości-geometrycznych"/>
    <w:p>
      <w:pPr>
        <w:pStyle w:val="Heading3"/>
      </w:pPr>
      <w:r>
        <w:t xml:space="preserve">15.1. Obliczanie wielkości geometrycznych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Pole obszaru płaskiego:</w:t>
      </w:r>
    </w:p>
    <w:p>
      <w:pPr>
        <w:pStyle w:val="Compact"/>
        <w:numPr>
          <w:ilvl w:val="1"/>
          <w:numId w:val="1005"/>
        </w:numPr>
      </w:pPr>
      <w:r>
        <w:t xml:space="preserve">We współrzędnych kartezjańskich: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W postaci parametrycznej (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Compact"/>
        <w:numPr>
          <w:ilvl w:val="1"/>
          <w:numId w:val="1005"/>
        </w:numPr>
      </w:pPr>
      <w:r>
        <w:t xml:space="preserve">We współrzędnych biegunowych (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φ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Długość łuku krzywej:</w:t>
      </w:r>
    </w:p>
    <w:p>
      <w:pPr>
        <w:pStyle w:val="Compact"/>
        <w:numPr>
          <w:ilvl w:val="1"/>
          <w:numId w:val="1006"/>
        </w:numPr>
      </w:pPr>
      <w:r>
        <w:t xml:space="preserve">Postać jawna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Postać parametryczna: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[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Postać biegunowa: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φ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φ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φ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Objętość bryły obrotowej:</w:t>
      </w:r>
    </w:p>
    <w:p>
      <w:pPr>
        <w:pStyle w:val="Compact"/>
        <w:numPr>
          <w:ilvl w:val="1"/>
          <w:numId w:val="1007"/>
        </w:numPr>
      </w:pPr>
      <w:r>
        <w:t xml:space="preserve">Obrót 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[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Obrót wokół osi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(metoda powłok walcowych):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Pole powierzchni bryły obrotowej:</w:t>
      </w:r>
    </w:p>
    <w:p>
      <w:pPr>
        <w:pStyle w:val="Compact"/>
        <w:numPr>
          <w:ilvl w:val="1"/>
          <w:numId w:val="1008"/>
        </w:numPr>
      </w:pPr>
      <w:r>
        <w:t xml:space="preserve">Obrót 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9" w:name="Xe56754d3b80ec7c839f5c1b711fb3ca53bd551a"/>
    <w:p>
      <w:pPr>
        <w:pStyle w:val="Heading3"/>
      </w:pPr>
      <w:r>
        <w:t xml:space="preserve">15.2. Zastosowania w elektronice i teorii sygnałów</w:t>
      </w:r>
    </w:p>
    <w:bookmarkStart w:id="17" w:name="X75f1f66fee2691824c5a9abc2799ba3e87f4993"/>
    <w:p>
      <w:pPr>
        <w:pStyle w:val="Heading4"/>
      </w:pPr>
      <w:r>
        <w:t xml:space="preserve">1. Wartość średnia i skuteczna (RMS) sygnałów okresowych:</w:t>
      </w:r>
    </w:p>
    <w:p>
      <w:pPr>
        <w:pStyle w:val="FirstParagraph"/>
      </w:pPr>
      <w:r>
        <w:t xml:space="preserve">Dla sygnału okresowego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 okresie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Wartość średnia: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śr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Wartość skuteczna (RMS – Root Mean Square):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RMS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rad>
        </m:oMath>
      </m:oMathPara>
    </w:p>
    <w:p>
      <w:pPr>
        <w:pStyle w:val="FirstParagraph"/>
      </w:pPr>
      <w:r>
        <w:t xml:space="preserve">Wartość skuteczna odpowiada wartości stałego napięcia, które na rezystorze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wydzieliłoby w czasie okresu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taką samą ilość ciepła (energię Joula) co analizowany sygnał zmienny: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R</m:t>
              </m:r>
            </m:den>
          </m:f>
          <m:r>
            <m:t>T</m:t>
          </m:r>
        </m:oMath>
      </m:oMathPara>
    </w:p>
    <w:bookmarkEnd w:id="17"/>
    <w:bookmarkStart w:id="18" w:name="kanoniczne-sygnały-w-elektronice"/>
    <w:p>
      <w:pPr>
        <w:pStyle w:val="Heading4"/>
      </w:pPr>
      <w:r>
        <w:t xml:space="preserve">Kanoniczne sygnały w elektronice: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Sygnał sinusoidalny</w:t>
      </w:r>
      <w:r>
        <w:rPr>
          <w:b/>
          <w:bCs/>
        </w:rP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RMS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ra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707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Sygnał trójkątny symetryczny o amplitudzie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RMS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577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Sygnał prostokątny o wypełnieniu 50% i amplitudzie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sSub>
          <m:e>
            <m:r>
              <m:t>U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RMS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2" w:name="rozdział-16-całki-niewłaściwe"/>
    <w:p>
      <w:pPr>
        <w:pStyle w:val="Heading2"/>
      </w:pPr>
      <w:r>
        <w:t xml:space="preserve">Rozdział 16: Całki niewłaściwe</w:t>
      </w:r>
    </w:p>
    <w:bookmarkStart w:id="23" w:name="całki-niewłaściwe-i-i-ii-rodzaju"/>
    <w:p>
      <w:pPr>
        <w:pStyle w:val="Heading3"/>
      </w:pPr>
      <w:r>
        <w:t xml:space="preserve">16.1. Całki niewłaściwe I i II rodzaju</w:t>
      </w:r>
    </w:p>
    <w:bookmarkStart w:id="21" w:name="Xa2d11de007d89e7808e1645c07f2a3b216b6ae4"/>
    <w:p>
      <w:pPr>
        <w:pStyle w:val="Heading4"/>
      </w:pPr>
      <w:r>
        <w:t xml:space="preserve">1. Całki niewłaściwe I rodzaju (przedział nieograniczony):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Jeżeli granice są skończone, całkę nazywamy</w:t>
      </w:r>
      <w:r>
        <w:t xml:space="preserve"> </w:t>
      </w:r>
      <w:r>
        <w:rPr>
          <w:b/>
          <w:bCs/>
        </w:rPr>
        <w:t xml:space="preserve">zbieżną</w:t>
      </w:r>
      <w:r>
        <w:t xml:space="preserve">, w przeciwnym razie –</w:t>
      </w:r>
      <w:r>
        <w:t xml:space="preserve"> </w:t>
      </w:r>
      <w:r>
        <w:rPr>
          <w:b/>
          <w:bCs/>
        </w:rPr>
        <w:t xml:space="preserve">rozbieżną</w:t>
      </w:r>
      <w:r>
        <w:t xml:space="preserve">.</w:t>
      </w:r>
    </w:p>
    <w:bookmarkEnd w:id="21"/>
    <w:bookmarkStart w:id="22" w:name="X6ae2f9f95bf0c1684a77137dc9d7e31de33df8b"/>
    <w:p>
      <w:pPr>
        <w:pStyle w:val="Heading4"/>
      </w:pPr>
      <w:r>
        <w:t xml:space="preserve">2. Całki niewłaściwe II rodzaju (funkcja nieograniczona):</w:t>
      </w:r>
    </w:p>
    <w:p>
      <w:pPr>
        <w:pStyle w:val="FirstParagraph"/>
      </w:pP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dąży do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 </w:t>
      </w:r>
      <w:r>
        <w:t xml:space="preserve">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  <m:r>
                <m:rPr>
                  <m:sty m:val="p"/>
                </m:rPr>
                <m:t>−</m:t>
              </m:r>
              <m:r>
                <m:t>ε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16.1 (Całki wzorcowe):</w:t>
      </w:r>
      <w:r>
        <w:br/>
      </w:r>
      <w:r>
        <w:t xml:space="preserve">1.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α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zbieżna dla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a rozbieżna dla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α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zbieżna dla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 a rozbieżna dla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5b9aae00db78518a962e1e55972ea3184d9dfe0"/>
    <w:p>
      <w:pPr>
        <w:pStyle w:val="Heading3"/>
      </w:pPr>
      <w:r>
        <w:t xml:space="preserve">16.2. Kryteria zbieżności i wartość główna Cauchy’ego</w:t>
      </w:r>
    </w:p>
    <w:p>
      <w:pPr>
        <w:pStyle w:val="BlockText"/>
      </w:pPr>
      <w:r>
        <w:rPr>
          <w:b/>
          <w:bCs/>
        </w:rPr>
        <w:t xml:space="preserve">Twierdzenie 16.2 (Kryterium porównawcze i ilorazowe):</w:t>
      </w:r>
      <w:r>
        <w:br/>
      </w:r>
      <w:r>
        <w:t xml:space="preserve">Niech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.</w:t>
      </w:r>
      <w:r>
        <w:t xml:space="preserve"> </w:t>
      </w:r>
      <w:r>
        <w:t xml:space="preserve">- Jeżeli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zbieżna, to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zbieżna.</w:t>
      </w:r>
      <w:r>
        <w:t xml:space="preserve"> </w:t>
      </w:r>
      <w:r>
        <w:t xml:space="preserve">- Jeżeli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rozbieżna, to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rozbieżna.</w:t>
      </w:r>
      <w:r>
        <w:t xml:space="preserve"> </w:t>
      </w:r>
      <w:r>
        <w:t xml:space="preserve">- Jeżeli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to obie całki są jednocześnie zbieżne albo rozbieżne.</w:t>
      </w:r>
    </w:p>
    <w:bookmarkStart w:id="24" w:name="X97b1f6f5da14b71253ad983da6cc8c2c7c096d9"/>
    <w:p>
      <w:pPr>
        <w:pStyle w:val="Heading4"/>
      </w:pPr>
      <w:r>
        <w:t xml:space="preserve">Wartość główna całki w sensie Cauchy’ego (v.p.):</w:t>
      </w:r>
    </w:p>
    <w:p>
      <w:pPr>
        <w:pStyle w:val="FirstParagraph"/>
      </w:pPr>
      <w:r>
        <w:t xml:space="preserve">Gdy całka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rozbieżna w sensie klasycznym z powodu przeciwnych nieskończoności, jej wartość główną definiujemy jako granicę symetryczną: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v.p.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R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R</m:t>
              </m:r>
            </m:sub>
            <m:sup>
              <m:r>
                <m:t>R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i/>
          <w:iCs/>
        </w:rPr>
        <w:t xml:space="preserve">Przykład: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jest rozbieżna, lecz</w:t>
      </w:r>
      <w:r>
        <w:t xml:space="preserve"> </w:t>
      </w:r>
      <m:oMath>
        <m:r>
          <m:rPr>
            <m:sty m:val="p"/>
          </m:rPr>
          <m:t>v.p.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R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e>
          <m:sub>
            <m:r>
              <m:rPr>
                <m:sty m:val="p"/>
              </m:rPr>
              <m:t>−</m:t>
            </m:r>
            <m:r>
              <m:t>R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unkcje-specjalne-eulera-gamma-i-beta"/>
    <w:p>
      <w:pPr>
        <w:pStyle w:val="Heading3"/>
      </w:pPr>
      <w:r>
        <w:t xml:space="preserve">16.3. Funkcje specjalne Eulera: Gamma i Beta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Funkcja Gamma Eulera: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Własności:</w:t>
      </w:r>
    </w:p>
    <w:p>
      <w:pPr>
        <w:pStyle w:val="Compact"/>
        <w:numPr>
          <w:ilvl w:val="1"/>
          <w:numId w:val="1011"/>
        </w:numPr>
      </w:pPr>
      <w:r>
        <w:t xml:space="preserve">Wzór redukcyjny: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1"/>
          <w:numId w:val="1011"/>
        </w:numPr>
      </w:pPr>
      <w:r>
        <w:t xml:space="preserve">Dla liczb naturalnych: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(uogólnienie silni na liczby rzeczywiste i zespolone),</w:t>
      </w:r>
    </w:p>
    <w:p>
      <w:pPr>
        <w:pStyle w:val="Compact"/>
        <w:numPr>
          <w:ilvl w:val="1"/>
          <w:numId w:val="1011"/>
        </w:numPr>
      </w:pPr>
      <w:r>
        <w:t xml:space="preserve">Wartość dla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</m:oMath>
      <w:r>
        <w:t xml:space="preserve"> </w:t>
      </w:r>
      <w:r>
        <w:t xml:space="preserve">(związana z całką Gaussa).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Funkcja Beta Eulera: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30" w:name="X4fa92a223efd9ac0644c640db4e3bd979afbbd4"/>
    <w:p>
      <w:pPr>
        <w:pStyle w:val="Heading3"/>
      </w:pPr>
      <w:r>
        <w:t xml:space="preserve">16.4. Wzorcowe zadania egzaminacyjne z pełnymi rozwiązaniami</w:t>
      </w:r>
    </w:p>
    <w:bookmarkStart w:id="27" w:name="Xad1cd79c1273848f150931399955bc4006c30a2"/>
    <w:p>
      <w:pPr>
        <w:pStyle w:val="Heading4"/>
      </w:pPr>
      <w:r>
        <w:t xml:space="preserve">Przykład 16.1 (Obliczanie pola pętli linii parametrycznej)</w:t>
      </w:r>
    </w:p>
    <w:p>
      <w:pPr>
        <w:pStyle w:val="FirstParagraph"/>
      </w:pPr>
      <w:r>
        <w:t xml:space="preserve">Obliczyć pole obszaru ograniczonego pętlą krzywej zadanej parametrycznie: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Wyznaczenie punktu samoprzecięcia (pętli):</w:t>
      </w:r>
      <w:r>
        <w:br/>
      </w:r>
      <w:r>
        <w:t xml:space="preserve">Szukamy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takich, że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3</m:t>
          </m:r>
          <m:sSubSup>
            <m:e>
              <m:r>
                <m:t>t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⟹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⟹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Nietrywialne parametry pętli: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do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Wzór na pole w postaci parametrycznej:</w:t>
      </w:r>
      <w:r>
        <w:br/>
      </w:r>
      <w:r>
        <w:t xml:space="preserve">Z symetrii wykresu względem osi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jest parzysta,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nieparzysta):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sub>
            <m: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sup>
            <m:e>
              <m:r>
                <m:t>y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sup>
            <m:e>
              <m:r>
                <m:rPr>
                  <m:sty m:val="p"/>
                </m:rPr>
                <m:t>(</m:t>
              </m:r>
            </m:e>
          </m:nary>
          <m:r>
            <m:t>3</m:t>
          </m:r>
          <m:r>
            <m:t>t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6</m:t>
          </m:r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sup>
            <m:e>
              <m:r>
                <m:rPr>
                  <m:sty m:val="p"/>
                </m:rPr>
                <m:t>(</m:t>
              </m:r>
            </m:e>
          </m:nary>
          <m:r>
            <m:t>3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12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sup>
          </m:sSubSup>
          <m:r>
            <m:rPr>
              <m:sty m:val="p"/>
            </m:rPr>
            <m:t>=</m:t>
          </m:r>
          <m:r>
            <m:t>12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5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przykład-16.2-długość-łuku-asteroidy"/>
    <w:p>
      <w:pPr>
        <w:pStyle w:val="Heading4"/>
      </w:pPr>
      <w:r>
        <w:t xml:space="preserve">Przykład 16.2 (Długość łuku asteroidy)</w:t>
      </w:r>
    </w:p>
    <w:p>
      <w:pPr>
        <w:pStyle w:val="FirstParagraph"/>
      </w:pPr>
      <w:r>
        <w:t xml:space="preserve">Obliczyć długość całej asteroidy: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Krzywa składa się z 4 symetrycznych łuków (w każdej ćwiartce dla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Pochodne: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a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a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cos</m:t>
          </m:r>
          <m:r>
            <m:t>t</m:t>
          </m:r>
        </m:oMath>
      </m:oMathPara>
    </w:p>
    <w:p>
      <w:pPr>
        <w:pStyle w:val="FirstParagraph"/>
      </w:pPr>
      <w:r>
        <w:t xml:space="preserve">Element łuku: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t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t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e>
          </m:ra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</m:t>
          </m:r>
          <m:r>
            <m:t>a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)</m:t>
              </m:r>
            </m:e>
          </m:ra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mamy</w:t>
      </w:r>
      <w:r>
        <w:t xml:space="preserve"> </w:t>
      </w:r>
      <m:oMath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więc: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4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3</m:t>
              </m:r>
            </m:e>
          </m:nary>
          <m:r>
            <m:t>a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cos</m:t>
          </m:r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12</m:t>
          </m:r>
          <m:r>
            <m:t>a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12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t>a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X43a2cf6351077667b7154fc140f53b7076ce63c"/>
    <w:p>
      <w:pPr>
        <w:pStyle w:val="Heading4"/>
      </w:pPr>
      <w:r>
        <w:t xml:space="preserve">Przykład 16.3 (Całka niewłaściwa I rodzaju)</w:t>
      </w:r>
    </w:p>
    <w:p>
      <w:pPr>
        <w:pStyle w:val="FirstParagraph"/>
      </w:pPr>
      <w:r>
        <w:t xml:space="preserve">Zbadać zbieżność i obliczyć całkę: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Mianownik: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br/>
      </w:r>
      <w:r>
        <w:t xml:space="preserve">Funkcja pierwotna: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arctg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Obliczamy granicę: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den>
              </m:f>
            </m:e>
          </m:nary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arctg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m:t>0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arctg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8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zadania-do-samodzielnego-rozwiązania"/>
    <w:p>
      <w:pPr>
        <w:pStyle w:val="Heading3"/>
      </w:pPr>
      <w:r>
        <w:t xml:space="preserve">16.5. Zadania do samodzielnego rozwiązania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16.1:</w:t>
      </w:r>
      <w:r>
        <w:t xml:space="preserve"> </w:t>
      </w:r>
      <w:r>
        <w:t xml:space="preserve">Obliczyć całkę oznaczoną: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16.2:</w:t>
      </w:r>
      <w:r>
        <w:t xml:space="preserve"> </w:t>
      </w:r>
      <w:r>
        <w:t xml:space="preserve">Obliczyć objętość bryły powstałej przez obrót wokół osi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łuku sinusoidy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16.3:</w:t>
      </w:r>
      <w:r>
        <w:t xml:space="preserve"> </w:t>
      </w:r>
      <w:r>
        <w:t xml:space="preserve">Wyznaczyć wartość skuteczną przebiegu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(napięcie wyprostowane dwupołówkowo).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m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16.4:</w:t>
      </w:r>
      <w:r>
        <w:t xml:space="preserve"> </w:t>
      </w:r>
      <w:r>
        <w:t xml:space="preserve">Zbadać zbieżność całki niewłaściwej: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Całka jest zbieżna. Przez części: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ad>
          <m:radPr>
            <m:degHide m:val="on"/>
          </m:radPr>
          <m:deg/>
          <m:e>
            <m:r>
              <m:t>x</m:t>
            </m:r>
          </m:e>
        </m:rad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4</m:t>
        </m:r>
        <m:rad>
          <m:radPr>
            <m:degHide m:val="on"/>
          </m:radPr>
          <m:deg/>
          <m:e>
            <m:r>
              <m:t>x</m:t>
            </m:r>
          </m:e>
        </m:rad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Zadanie 16.5:</w:t>
      </w:r>
      <w:r>
        <w:t xml:space="preserve"> </w:t>
      </w:r>
      <w:r>
        <w:t xml:space="preserve">Korzystając z własności funkcji Gamma, obliczyć całkę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Wskazówka:</w:t>
      </w:r>
      <w:r>
        <w:t xml:space="preserve"> </w:t>
      </w:r>
      <w:r>
        <w:t xml:space="preserve">Podstawienie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2</m:t>
                </m:r>
              </m:e>
              <m:sup>
                <m:r>
                  <m:t>7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!</m:t>
            </m:r>
          </m:num>
          <m:den>
            <m:r>
              <m:t>128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720</m:t>
            </m:r>
          </m:num>
          <m:den>
            <m:r>
              <m:t>128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2026-09-11T18:06:14Z</dcterms:created>
  <dcterms:modified xsi:type="dcterms:W3CDTF">2026-09-11T18:06:14Z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