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85" w:rsidRPr="002D1F85" w:rsidRDefault="008C505B" w:rsidP="002D1F85">
      <w:pPr>
        <w:pStyle w:val="NoSpacing"/>
        <w:tabs>
          <w:tab w:val="left" w:pos="180"/>
        </w:tabs>
        <w:jc w:val="center"/>
        <w:rPr>
          <w:sz w:val="36"/>
          <w:szCs w:val="28"/>
        </w:rPr>
      </w:pPr>
      <w:r>
        <w:rPr>
          <w:sz w:val="36"/>
          <w:szCs w:val="28"/>
        </w:rPr>
        <w:t>VIO Server Build Procedure</w:t>
      </w:r>
    </w:p>
    <w:p w:rsidR="002D1F85" w:rsidRDefault="002D1F85" w:rsidP="00B02A45"/>
    <w:p w:rsidR="00723F5F" w:rsidRDefault="00F54D00" w:rsidP="00155068">
      <w:pPr>
        <w:pStyle w:val="SectionTitleLarge"/>
      </w:pPr>
      <w:r>
        <w:t>Purpose</w:t>
      </w:r>
    </w:p>
    <w:p w:rsidR="00B47411" w:rsidRDefault="008C505B" w:rsidP="008C505B">
      <w:pPr>
        <w:ind w:left="360"/>
      </w:pPr>
      <w:r>
        <w:t xml:space="preserve">To show all the changes and customization needed when building new VIO servers </w:t>
      </w:r>
    </w:p>
    <w:p w:rsidR="000331EB" w:rsidRDefault="00F54D00" w:rsidP="00D7532A">
      <w:pPr>
        <w:pStyle w:val="SectionTitleLarge"/>
      </w:pPr>
      <w:r>
        <w:t>Scope</w:t>
      </w:r>
    </w:p>
    <w:p w:rsidR="00723F5F" w:rsidRDefault="008C505B" w:rsidP="008C505B">
      <w:pPr>
        <w:ind w:left="360"/>
      </w:pPr>
      <w:r>
        <w:t>Applicable to building VIO servers on IBM Power systems including SSP cluster nodes</w:t>
      </w:r>
    </w:p>
    <w:p w:rsidR="00B14ED2" w:rsidRDefault="00B14ED2" w:rsidP="00EA389D">
      <w:pPr>
        <w:pStyle w:val="SectionTitleLarge"/>
      </w:pPr>
      <w:r>
        <w:t>Prerequisite</w:t>
      </w:r>
    </w:p>
    <w:p w:rsidR="005945B2" w:rsidRDefault="008C505B" w:rsidP="005945B2">
      <w:pPr>
        <w:pStyle w:val="SubSection"/>
      </w:pPr>
      <w:r>
        <w:t xml:space="preserve">IBM VIO </w:t>
      </w:r>
      <w:r w:rsidR="00666CE4">
        <w:t>Server I</w:t>
      </w:r>
      <w:r>
        <w:t xml:space="preserve">nstallation </w:t>
      </w:r>
      <w:r w:rsidR="00666CE4">
        <w:t>M</w:t>
      </w:r>
      <w:r>
        <w:t>edia</w:t>
      </w:r>
    </w:p>
    <w:p w:rsidR="00666CE4" w:rsidRDefault="00666CE4" w:rsidP="005945B2">
      <w:pPr>
        <w:pStyle w:val="SubSection"/>
      </w:pPr>
      <w:r>
        <w:t xml:space="preserve">Hardware for VIO server including one pair of </w:t>
      </w:r>
      <w:r w:rsidR="004A4054">
        <w:t>internal disk</w:t>
      </w:r>
      <w:r>
        <w:t xml:space="preserve"> drives, one pair of Ethernet ports, one pair Fibre Channel ports, 0.5 processors and minimal of 4GB of memory</w:t>
      </w:r>
    </w:p>
    <w:p w:rsidR="00EA389D" w:rsidRDefault="004E66F7" w:rsidP="006967FC">
      <w:pPr>
        <w:pStyle w:val="SectionTitleLarge"/>
      </w:pPr>
      <w:r>
        <w:t>Procedure</w:t>
      </w:r>
    </w:p>
    <w:p w:rsidR="008C505B" w:rsidRDefault="008C505B" w:rsidP="005945B2">
      <w:pPr>
        <w:pStyle w:val="SubSection"/>
      </w:pPr>
      <w:r>
        <w:t>Install VIO server using IBM VIO installation media (CD)</w:t>
      </w:r>
    </w:p>
    <w:p w:rsidR="008C505B" w:rsidRDefault="008C505B" w:rsidP="008C505B">
      <w:pPr>
        <w:pStyle w:val="SubSection"/>
        <w:numPr>
          <w:ilvl w:val="2"/>
          <w:numId w:val="1"/>
        </w:numPr>
      </w:pPr>
      <w:r>
        <w:t>Follow IBM VIO installation procedure</w:t>
      </w:r>
    </w:p>
    <w:p w:rsidR="004A4054" w:rsidRDefault="004A4054" w:rsidP="008C505B">
      <w:pPr>
        <w:pStyle w:val="SubSection"/>
        <w:numPr>
          <w:ilvl w:val="2"/>
          <w:numId w:val="1"/>
        </w:numPr>
      </w:pPr>
      <w:r>
        <w:t xml:space="preserve">For S824 server with </w:t>
      </w:r>
      <w:r w:rsidR="00047774">
        <w:t xml:space="preserve">one </w:t>
      </w:r>
      <w:r>
        <w:t>CDROM drive that connected to one internal SAS controller, a couple of ways to install the second VIO server on the same S824 server</w:t>
      </w:r>
      <w:r w:rsidR="00E433E8">
        <w:t xml:space="preserve"> via CDROM</w:t>
      </w:r>
    </w:p>
    <w:p w:rsidR="00FB694B" w:rsidRDefault="004A4054" w:rsidP="004A4054">
      <w:pPr>
        <w:pStyle w:val="SubSection"/>
        <w:numPr>
          <w:ilvl w:val="3"/>
          <w:numId w:val="1"/>
        </w:numPr>
      </w:pPr>
      <w:r>
        <w:t xml:space="preserve">One </w:t>
      </w:r>
      <w:r w:rsidR="00FB694B">
        <w:t xml:space="preserve">way </w:t>
      </w:r>
      <w:r>
        <w:t xml:space="preserve">is to </w:t>
      </w:r>
      <w:r w:rsidR="00FB694B">
        <w:t xml:space="preserve">physically remove the pair of internal drives from the SAS controller with CDROM connected and mount the pair of disk drives from the other SAS controller with no CDROM. </w:t>
      </w:r>
    </w:p>
    <w:p w:rsidR="004A4054" w:rsidRDefault="004A4054" w:rsidP="004A4054">
      <w:pPr>
        <w:pStyle w:val="SubSection"/>
        <w:numPr>
          <w:ilvl w:val="3"/>
          <w:numId w:val="1"/>
        </w:numPr>
      </w:pPr>
      <w:r>
        <w:t xml:space="preserve">use alt_disk_install </w:t>
      </w:r>
      <w:r w:rsidR="00FB694B">
        <w:t>to make a copy of the VIO server on the pair of internal disk drives that have no access to CDROM</w:t>
      </w:r>
    </w:p>
    <w:p w:rsidR="00FB694B" w:rsidRDefault="00FB694B" w:rsidP="004A4054">
      <w:pPr>
        <w:pStyle w:val="SubSection"/>
        <w:numPr>
          <w:ilvl w:val="3"/>
          <w:numId w:val="1"/>
        </w:numPr>
      </w:pPr>
      <w:r>
        <w:t xml:space="preserve">Note: NIM install can be done if the network interfaces on the VIO servers are not EtherChannel/Link aggregated.  </w:t>
      </w:r>
    </w:p>
    <w:p w:rsidR="00404DF3" w:rsidRDefault="00404DF3" w:rsidP="005945B2">
      <w:pPr>
        <w:pStyle w:val="SubSection"/>
      </w:pPr>
      <w:r>
        <w:t>Mirror the rootvg</w:t>
      </w:r>
      <w:r w:rsidR="004A4054">
        <w:t xml:space="preserve"> via internal disk drives</w:t>
      </w:r>
    </w:p>
    <w:p w:rsidR="00404DF3" w:rsidRDefault="00404DF3" w:rsidP="00404DF3">
      <w:pPr>
        <w:pStyle w:val="SubSection"/>
        <w:numPr>
          <w:ilvl w:val="2"/>
          <w:numId w:val="1"/>
        </w:numPr>
      </w:pPr>
      <w:r>
        <w:t>Enter the root shell (oem_setup_env)</w:t>
      </w:r>
    </w:p>
    <w:p w:rsidR="00404DF3" w:rsidRDefault="00404DF3" w:rsidP="00404DF3">
      <w:pPr>
        <w:pStyle w:val="SubSection"/>
        <w:numPr>
          <w:ilvl w:val="2"/>
          <w:numId w:val="1"/>
        </w:numPr>
      </w:pPr>
      <w:r>
        <w:t>Lsdev –Cc disk and determine the second local disk as hdisk1</w:t>
      </w:r>
    </w:p>
    <w:p w:rsidR="00404DF3" w:rsidRDefault="00404DF3" w:rsidP="00404DF3">
      <w:pPr>
        <w:pStyle w:val="SubSection"/>
        <w:numPr>
          <w:ilvl w:val="2"/>
          <w:numId w:val="1"/>
        </w:numPr>
      </w:pPr>
      <w:r>
        <w:t>Extendvg rootvg hdisk1</w:t>
      </w:r>
    </w:p>
    <w:p w:rsidR="00404DF3" w:rsidRDefault="00404DF3" w:rsidP="00404DF3">
      <w:pPr>
        <w:pStyle w:val="SubSection"/>
        <w:numPr>
          <w:ilvl w:val="2"/>
          <w:numId w:val="1"/>
        </w:numPr>
      </w:pPr>
      <w:r>
        <w:t>Mirrorvg –m rootvg hdisk1</w:t>
      </w:r>
    </w:p>
    <w:p w:rsidR="00404DF3" w:rsidRDefault="00404DF3" w:rsidP="00404DF3">
      <w:pPr>
        <w:pStyle w:val="SubSection"/>
        <w:numPr>
          <w:ilvl w:val="2"/>
          <w:numId w:val="1"/>
        </w:numPr>
      </w:pPr>
      <w:r>
        <w:t>Bosboot –ad /dev/hdisk1</w:t>
      </w:r>
    </w:p>
    <w:p w:rsidR="00404DF3" w:rsidRDefault="00404DF3" w:rsidP="00404DF3">
      <w:pPr>
        <w:pStyle w:val="SubSection"/>
        <w:numPr>
          <w:ilvl w:val="2"/>
          <w:numId w:val="1"/>
        </w:numPr>
      </w:pPr>
      <w:r>
        <w:lastRenderedPageBreak/>
        <w:t>Bootlist –m normal hdisk0 hdisk1</w:t>
      </w:r>
    </w:p>
    <w:p w:rsidR="005945B2" w:rsidRDefault="008C505B" w:rsidP="005945B2">
      <w:pPr>
        <w:pStyle w:val="SubSection"/>
      </w:pPr>
      <w:r>
        <w:t>EMC ODM support and PowerPath packages (applicable to EMC SAN disk)</w:t>
      </w:r>
    </w:p>
    <w:p w:rsidR="008C505B" w:rsidRDefault="008C505B" w:rsidP="008C505B">
      <w:pPr>
        <w:pStyle w:val="SubSection"/>
        <w:numPr>
          <w:ilvl w:val="2"/>
          <w:numId w:val="1"/>
        </w:numPr>
      </w:pPr>
      <w:r>
        <w:t>If external EMC SAN disks to be used by VIO servers, then EMC Powerpath and ODM support packages to be installed</w:t>
      </w:r>
    </w:p>
    <w:p w:rsidR="008C505B" w:rsidRDefault="008C505B" w:rsidP="008C505B">
      <w:pPr>
        <w:pStyle w:val="SubSection"/>
        <w:numPr>
          <w:ilvl w:val="2"/>
          <w:numId w:val="1"/>
        </w:numPr>
      </w:pPr>
      <w:r>
        <w:t>Install AIX EMC ODM support fileset (v5.3.1.0)</w:t>
      </w:r>
    </w:p>
    <w:p w:rsidR="008C505B" w:rsidRDefault="008C505B" w:rsidP="008C505B">
      <w:pPr>
        <w:pStyle w:val="SubSection"/>
        <w:numPr>
          <w:ilvl w:val="3"/>
          <w:numId w:val="1"/>
        </w:numPr>
      </w:pPr>
      <w:r>
        <w:t>Tar –xf EMC.AIX.5.3.1.0.tar</w:t>
      </w:r>
    </w:p>
    <w:p w:rsidR="008C505B" w:rsidRDefault="008C505B" w:rsidP="008C505B">
      <w:pPr>
        <w:pStyle w:val="SubSection"/>
        <w:numPr>
          <w:ilvl w:val="3"/>
          <w:numId w:val="1"/>
        </w:numPr>
      </w:pPr>
      <w:r>
        <w:t>Inutoc .</w:t>
      </w:r>
    </w:p>
    <w:p w:rsidR="008C505B" w:rsidRDefault="008C505B" w:rsidP="008C505B">
      <w:pPr>
        <w:pStyle w:val="SubSection"/>
        <w:numPr>
          <w:ilvl w:val="3"/>
          <w:numId w:val="1"/>
        </w:numPr>
      </w:pPr>
      <w:r>
        <w:t>Smit installp</w:t>
      </w:r>
    </w:p>
    <w:p w:rsidR="008C505B" w:rsidRDefault="008C505B" w:rsidP="008C505B">
      <w:pPr>
        <w:pStyle w:val="SubSection"/>
        <w:numPr>
          <w:ilvl w:val="3"/>
          <w:numId w:val="1"/>
        </w:numPr>
      </w:pPr>
      <w:r>
        <w:t>Choose “Install and Update from LATEST Available Software”</w:t>
      </w:r>
    </w:p>
    <w:p w:rsidR="008C505B" w:rsidRDefault="008C505B" w:rsidP="008C505B">
      <w:pPr>
        <w:pStyle w:val="SubSection"/>
        <w:numPr>
          <w:ilvl w:val="3"/>
          <w:numId w:val="1"/>
        </w:numPr>
      </w:pPr>
      <w:r>
        <w:t>Input device as [.]</w:t>
      </w:r>
    </w:p>
    <w:p w:rsidR="008C505B" w:rsidRDefault="008C505B" w:rsidP="008C505B">
      <w:pPr>
        <w:pStyle w:val="SubSection"/>
        <w:numPr>
          <w:ilvl w:val="3"/>
          <w:numId w:val="1"/>
        </w:numPr>
      </w:pPr>
      <w:r>
        <w:t>F4 (esc +4) and use F7 select EMC Clariion, Symmetrix, and Extreme IO Except Cellera and iSCSI</w:t>
      </w:r>
    </w:p>
    <w:p w:rsidR="008C505B" w:rsidRDefault="008C505B" w:rsidP="008C505B">
      <w:pPr>
        <w:pStyle w:val="SubSection"/>
        <w:numPr>
          <w:ilvl w:val="3"/>
          <w:numId w:val="1"/>
        </w:numPr>
      </w:pPr>
      <w:r>
        <w:t>Accept New License Agreement as YES</w:t>
      </w:r>
    </w:p>
    <w:p w:rsidR="008C505B" w:rsidRDefault="008C505B" w:rsidP="008C505B">
      <w:pPr>
        <w:pStyle w:val="SubSection"/>
        <w:numPr>
          <w:ilvl w:val="2"/>
          <w:numId w:val="1"/>
        </w:numPr>
      </w:pPr>
      <w:r>
        <w:t>Install EMC Powerpath software (v6.0.1) – SP1</w:t>
      </w:r>
    </w:p>
    <w:p w:rsidR="008C505B" w:rsidRDefault="008C505B" w:rsidP="008C505B">
      <w:pPr>
        <w:pStyle w:val="SubSection"/>
        <w:numPr>
          <w:ilvl w:val="3"/>
          <w:numId w:val="1"/>
        </w:numPr>
      </w:pPr>
      <w:r>
        <w:t>Gzip –d EMCPower.AIX.6.0.SP1.GA.b132.tar.gz</w:t>
      </w:r>
    </w:p>
    <w:p w:rsidR="008C505B" w:rsidRDefault="008C505B" w:rsidP="008C505B">
      <w:pPr>
        <w:pStyle w:val="SubSection"/>
        <w:numPr>
          <w:ilvl w:val="3"/>
          <w:numId w:val="1"/>
        </w:numPr>
      </w:pPr>
      <w:r>
        <w:t>Tar –xvf EMCPower.AIX.6.60.SP1.GA.b132.tar</w:t>
      </w:r>
    </w:p>
    <w:p w:rsidR="008C505B" w:rsidRDefault="008C505B" w:rsidP="008C505B">
      <w:pPr>
        <w:pStyle w:val="SubSection"/>
        <w:numPr>
          <w:ilvl w:val="3"/>
          <w:numId w:val="1"/>
        </w:numPr>
      </w:pPr>
      <w:r>
        <w:t>Smit installp</w:t>
      </w:r>
    </w:p>
    <w:p w:rsidR="008C505B" w:rsidRDefault="008C505B" w:rsidP="008C505B">
      <w:pPr>
        <w:pStyle w:val="SubSection"/>
        <w:numPr>
          <w:ilvl w:val="3"/>
          <w:numId w:val="1"/>
        </w:numPr>
      </w:pPr>
      <w:r>
        <w:t>Choose “Install and update</w:t>
      </w:r>
      <w:r w:rsidR="00FC4167">
        <w:t xml:space="preserve"> from LATEST Available Software”</w:t>
      </w:r>
    </w:p>
    <w:p w:rsidR="00FC4167" w:rsidRDefault="00FC4167" w:rsidP="008C505B">
      <w:pPr>
        <w:pStyle w:val="SubSection"/>
        <w:numPr>
          <w:ilvl w:val="3"/>
          <w:numId w:val="1"/>
        </w:numPr>
      </w:pPr>
      <w:r>
        <w:t>Input device as [.]</w:t>
      </w:r>
    </w:p>
    <w:p w:rsidR="00FC4167" w:rsidRDefault="00FC4167" w:rsidP="008C505B">
      <w:pPr>
        <w:pStyle w:val="SubSection"/>
        <w:numPr>
          <w:ilvl w:val="3"/>
          <w:numId w:val="1"/>
        </w:numPr>
      </w:pPr>
      <w:r>
        <w:t>F4 and use F7 to select all components</w:t>
      </w:r>
    </w:p>
    <w:p w:rsidR="00FC4167" w:rsidRDefault="00FC4167" w:rsidP="008C505B">
      <w:pPr>
        <w:pStyle w:val="SubSection"/>
        <w:numPr>
          <w:ilvl w:val="3"/>
          <w:numId w:val="1"/>
        </w:numPr>
      </w:pPr>
      <w:r>
        <w:t>Accept new license agreement as YES</w:t>
      </w:r>
    </w:p>
    <w:p w:rsidR="00A15253" w:rsidRDefault="00A15253" w:rsidP="00A15253">
      <w:pPr>
        <w:pStyle w:val="SubSection"/>
        <w:numPr>
          <w:ilvl w:val="2"/>
          <w:numId w:val="1"/>
        </w:numPr>
      </w:pPr>
      <w:r>
        <w:t>Apply EMC license for powerpath</w:t>
      </w:r>
    </w:p>
    <w:p w:rsidR="00A15253" w:rsidRDefault="00A15253" w:rsidP="00A15253">
      <w:pPr>
        <w:pStyle w:val="SubSection"/>
        <w:numPr>
          <w:ilvl w:val="3"/>
          <w:numId w:val="1"/>
        </w:numPr>
      </w:pPr>
      <w:r>
        <w:t xml:space="preserve">Emcpreg –add </w:t>
      </w:r>
      <w:r w:rsidRPr="00A15253">
        <w:t>BIPK-GB4V-4F4D-QQK9-M99D-SNHM</w:t>
      </w:r>
    </w:p>
    <w:p w:rsidR="00A15253" w:rsidRDefault="00A15253" w:rsidP="00A15253">
      <w:pPr>
        <w:pStyle w:val="SubSection"/>
        <w:numPr>
          <w:ilvl w:val="3"/>
          <w:numId w:val="1"/>
        </w:numPr>
      </w:pPr>
      <w:r>
        <w:t>Emcpreg –list ### Checks license.</w:t>
      </w:r>
    </w:p>
    <w:p w:rsidR="00A15253" w:rsidRDefault="00A15253" w:rsidP="00A15253">
      <w:pPr>
        <w:pStyle w:val="SubSection"/>
        <w:numPr>
          <w:ilvl w:val="3"/>
          <w:numId w:val="1"/>
        </w:numPr>
      </w:pPr>
      <w:r>
        <w:t>Reboot the server to apply it.</w:t>
      </w:r>
      <w:r w:rsidR="00130842">
        <w:t xml:space="preserve">he </w:t>
      </w:r>
    </w:p>
    <w:p w:rsidR="005945B2" w:rsidRPr="00C74932" w:rsidRDefault="00FC4167" w:rsidP="005945B2">
      <w:pPr>
        <w:pStyle w:val="SubSection"/>
      </w:pPr>
      <w:r>
        <w:t>Disk configuration (after storage management team presented disks to VIO servers)</w:t>
      </w:r>
    </w:p>
    <w:p w:rsidR="00EA389D" w:rsidRDefault="00FC4167" w:rsidP="005945B2">
      <w:pPr>
        <w:pStyle w:val="SubSection"/>
        <w:numPr>
          <w:ilvl w:val="2"/>
          <w:numId w:val="1"/>
        </w:numPr>
      </w:pPr>
      <w:r>
        <w:t>Run cfgdev to scan for new disk and then powermt config</w:t>
      </w:r>
      <w:r w:rsidR="0040685B">
        <w:t xml:space="preserve"> (run under the root shell – oem_setup_env)</w:t>
      </w:r>
    </w:p>
    <w:p w:rsidR="005945B2" w:rsidRDefault="00FC4167" w:rsidP="005945B2">
      <w:pPr>
        <w:pStyle w:val="SubSection"/>
        <w:numPr>
          <w:ilvl w:val="3"/>
          <w:numId w:val="1"/>
        </w:numPr>
      </w:pPr>
      <w:r>
        <w:t>For each of hdiskpowerX, perform the following command</w:t>
      </w:r>
    </w:p>
    <w:p w:rsidR="00C104D5" w:rsidRDefault="00FC4167" w:rsidP="00C104D5">
      <w:pPr>
        <w:pStyle w:val="SubSection"/>
        <w:numPr>
          <w:ilvl w:val="4"/>
          <w:numId w:val="1"/>
        </w:numPr>
      </w:pPr>
      <w:r>
        <w:lastRenderedPageBreak/>
        <w:t>Chdev –l hdiskpowerX –a reserve_policy=no_reserve –P</w:t>
      </w:r>
    </w:p>
    <w:p w:rsidR="004B5983" w:rsidRDefault="004B5983" w:rsidP="00C104D5">
      <w:pPr>
        <w:pStyle w:val="SubSection"/>
        <w:numPr>
          <w:ilvl w:val="4"/>
          <w:numId w:val="1"/>
        </w:numPr>
      </w:pPr>
      <w:r>
        <w:t>Note:  This allows external disks to share across all clustered VIO servers</w:t>
      </w:r>
    </w:p>
    <w:p w:rsidR="00FC4167" w:rsidRDefault="0040685B" w:rsidP="00FC4167">
      <w:pPr>
        <w:pStyle w:val="SubSection"/>
      </w:pPr>
      <w:r>
        <w:t>HBA settings</w:t>
      </w:r>
    </w:p>
    <w:p w:rsidR="0040685B" w:rsidRDefault="0040685B" w:rsidP="0040685B">
      <w:pPr>
        <w:pStyle w:val="SubSection"/>
        <w:numPr>
          <w:ilvl w:val="2"/>
          <w:numId w:val="1"/>
        </w:numPr>
      </w:pPr>
      <w:r>
        <w:t>For each fiber channel port (fcsX), perform the following command (run under the root shell – oem_setup_env)</w:t>
      </w:r>
    </w:p>
    <w:p w:rsidR="0040685B" w:rsidRDefault="0040685B" w:rsidP="0040685B">
      <w:pPr>
        <w:pStyle w:val="SubSection"/>
        <w:numPr>
          <w:ilvl w:val="3"/>
          <w:numId w:val="1"/>
        </w:numPr>
      </w:pPr>
      <w:r>
        <w:t>Chdev –l fcsX –a max_xfer_size=0x200000 –a num_cmd_elems=2048 –P</w:t>
      </w:r>
    </w:p>
    <w:p w:rsidR="0040685B" w:rsidRDefault="008073F1" w:rsidP="0040685B">
      <w:pPr>
        <w:pStyle w:val="SubSection"/>
      </w:pPr>
      <w:r>
        <w:t>Network settings</w:t>
      </w:r>
    </w:p>
    <w:p w:rsidR="008073F1" w:rsidRDefault="008073F1" w:rsidP="008073F1">
      <w:pPr>
        <w:pStyle w:val="SubSection"/>
        <w:numPr>
          <w:ilvl w:val="2"/>
          <w:numId w:val="1"/>
        </w:numPr>
      </w:pPr>
      <w:r>
        <w:t>Run the following commands to update TCP/UDP related settings (run under the root shell – oem_setup_env)</w:t>
      </w:r>
    </w:p>
    <w:p w:rsidR="008073F1" w:rsidRDefault="008073F1" w:rsidP="008073F1">
      <w:pPr>
        <w:pStyle w:val="SubSection"/>
        <w:numPr>
          <w:ilvl w:val="3"/>
          <w:numId w:val="1"/>
        </w:numPr>
      </w:pPr>
      <w:r>
        <w:t>no –p –o rfc1323=1</w:t>
      </w:r>
    </w:p>
    <w:p w:rsidR="008073F1" w:rsidRDefault="008073F1" w:rsidP="008073F1">
      <w:pPr>
        <w:pStyle w:val="SubSection"/>
        <w:numPr>
          <w:ilvl w:val="3"/>
          <w:numId w:val="1"/>
        </w:numPr>
      </w:pPr>
      <w:r w:rsidRPr="008073F1">
        <w:t>no -p -o tcp_sendspace=262144</w:t>
      </w:r>
    </w:p>
    <w:p w:rsidR="008073F1" w:rsidRDefault="008073F1" w:rsidP="008073F1">
      <w:pPr>
        <w:pStyle w:val="SubSection"/>
        <w:numPr>
          <w:ilvl w:val="3"/>
          <w:numId w:val="1"/>
        </w:numPr>
      </w:pPr>
      <w:r w:rsidRPr="008073F1">
        <w:t>no -p -o tcp_recvspace=262144</w:t>
      </w:r>
    </w:p>
    <w:p w:rsidR="008073F1" w:rsidRDefault="008073F1" w:rsidP="008073F1">
      <w:pPr>
        <w:pStyle w:val="SubSection"/>
        <w:numPr>
          <w:ilvl w:val="3"/>
          <w:numId w:val="1"/>
        </w:numPr>
      </w:pPr>
      <w:r w:rsidRPr="008073F1">
        <w:t>no -p -o udp_sendspace=65536</w:t>
      </w:r>
    </w:p>
    <w:p w:rsidR="008073F1" w:rsidRDefault="008073F1" w:rsidP="008073F1">
      <w:pPr>
        <w:pStyle w:val="SubSection"/>
        <w:numPr>
          <w:ilvl w:val="3"/>
          <w:numId w:val="1"/>
        </w:numPr>
      </w:pPr>
      <w:r w:rsidRPr="008073F1">
        <w:t>no -p -o udp_recvspace=655360</w:t>
      </w:r>
    </w:p>
    <w:p w:rsidR="008073F1" w:rsidRDefault="003C1098" w:rsidP="003C1098">
      <w:pPr>
        <w:pStyle w:val="SubSection"/>
      </w:pPr>
      <w:r>
        <w:t>Network adapter settings</w:t>
      </w:r>
    </w:p>
    <w:p w:rsidR="003C1098" w:rsidRDefault="003C1098" w:rsidP="003C1098">
      <w:pPr>
        <w:pStyle w:val="SubSection"/>
        <w:numPr>
          <w:ilvl w:val="2"/>
          <w:numId w:val="1"/>
        </w:numPr>
      </w:pPr>
      <w:r>
        <w:t>Configure Link aggregation/Etherchannel (after network team put the network interfaces in LACP mode)</w:t>
      </w:r>
    </w:p>
    <w:p w:rsidR="003C1098" w:rsidRDefault="003C1098" w:rsidP="003C1098">
      <w:pPr>
        <w:pStyle w:val="SubSection"/>
        <w:numPr>
          <w:ilvl w:val="3"/>
          <w:numId w:val="1"/>
        </w:numPr>
      </w:pPr>
      <w:r>
        <w:t>Run smitty devices (under root shell)</w:t>
      </w:r>
    </w:p>
    <w:p w:rsidR="003C1098" w:rsidRDefault="003C1098" w:rsidP="003C1098">
      <w:pPr>
        <w:pStyle w:val="SubSection"/>
        <w:numPr>
          <w:ilvl w:val="3"/>
          <w:numId w:val="1"/>
        </w:numPr>
      </w:pPr>
      <w:r>
        <w:t>Communication</w:t>
      </w:r>
    </w:p>
    <w:p w:rsidR="003C1098" w:rsidRDefault="003C1098" w:rsidP="003C1098">
      <w:pPr>
        <w:pStyle w:val="SubSection"/>
        <w:numPr>
          <w:ilvl w:val="3"/>
          <w:numId w:val="1"/>
        </w:numPr>
      </w:pPr>
      <w:r>
        <w:t>EtherChannel / IEEE 802.3ad Link Aggregation</w:t>
      </w:r>
    </w:p>
    <w:p w:rsidR="003C1098" w:rsidRDefault="003C1098" w:rsidP="003C1098">
      <w:pPr>
        <w:pStyle w:val="SubSection"/>
        <w:numPr>
          <w:ilvl w:val="3"/>
          <w:numId w:val="1"/>
        </w:numPr>
      </w:pPr>
      <w:r>
        <w:t>Add an EtherChannel / Link Aggregation</w:t>
      </w:r>
    </w:p>
    <w:p w:rsidR="003C1098" w:rsidRDefault="003C1098" w:rsidP="003C1098">
      <w:pPr>
        <w:pStyle w:val="SubSection"/>
        <w:numPr>
          <w:ilvl w:val="3"/>
          <w:numId w:val="1"/>
        </w:numPr>
      </w:pPr>
      <w:r>
        <w:t>Choose the interfaces that have been added to LACP mode</w:t>
      </w:r>
    </w:p>
    <w:p w:rsidR="003C1098" w:rsidRDefault="003C1098" w:rsidP="003C1098">
      <w:pPr>
        <w:pStyle w:val="SubSection"/>
        <w:numPr>
          <w:ilvl w:val="3"/>
          <w:numId w:val="1"/>
        </w:numPr>
      </w:pPr>
      <w:r>
        <w:t>Set mode as 8023ad</w:t>
      </w:r>
    </w:p>
    <w:p w:rsidR="003C1098" w:rsidRDefault="003C1098" w:rsidP="003C1098">
      <w:pPr>
        <w:pStyle w:val="SubSection"/>
        <w:numPr>
          <w:ilvl w:val="3"/>
          <w:numId w:val="1"/>
        </w:numPr>
      </w:pPr>
      <w:r>
        <w:t>Set hash mode as src_dst_port</w:t>
      </w:r>
    </w:p>
    <w:p w:rsidR="003C1098" w:rsidRDefault="003C1098" w:rsidP="003C1098">
      <w:pPr>
        <w:pStyle w:val="SubSection"/>
        <w:numPr>
          <w:ilvl w:val="3"/>
          <w:numId w:val="1"/>
        </w:numPr>
      </w:pPr>
      <w:r>
        <w:t>All other settings as default</w:t>
      </w:r>
    </w:p>
    <w:p w:rsidR="003C1098" w:rsidRDefault="003C1098" w:rsidP="003C1098">
      <w:pPr>
        <w:pStyle w:val="SubSection"/>
        <w:numPr>
          <w:ilvl w:val="3"/>
          <w:numId w:val="1"/>
        </w:numPr>
      </w:pPr>
      <w:r>
        <w:t>This will create a EtherChannel interface – entX (e.g. ent4)</w:t>
      </w:r>
    </w:p>
    <w:p w:rsidR="003C1098" w:rsidRDefault="003C1098" w:rsidP="003C1098">
      <w:pPr>
        <w:pStyle w:val="SubSection"/>
        <w:numPr>
          <w:ilvl w:val="2"/>
          <w:numId w:val="1"/>
        </w:numPr>
      </w:pPr>
      <w:r>
        <w:t>Define SEA configuration</w:t>
      </w:r>
    </w:p>
    <w:p w:rsidR="003C1098" w:rsidRDefault="003C1098" w:rsidP="003C1098">
      <w:pPr>
        <w:pStyle w:val="SubSection"/>
        <w:numPr>
          <w:ilvl w:val="3"/>
          <w:numId w:val="1"/>
        </w:numPr>
      </w:pPr>
      <w:r>
        <w:t>Exit the root shell and back to VIO restricted shell</w:t>
      </w:r>
    </w:p>
    <w:p w:rsidR="003C1098" w:rsidRDefault="003C1098" w:rsidP="003C1098">
      <w:pPr>
        <w:pStyle w:val="SubSection"/>
        <w:numPr>
          <w:ilvl w:val="3"/>
          <w:numId w:val="1"/>
        </w:numPr>
      </w:pPr>
      <w:r>
        <w:lastRenderedPageBreak/>
        <w:t xml:space="preserve">Run the command “mkvdev –sea ent5 –vadapter ent4 –default ent4 –defaultid 211 </w:t>
      </w:r>
      <w:r w:rsidR="00967D5D">
        <w:t xml:space="preserve">–attr </w:t>
      </w:r>
      <w:r>
        <w:t>ha_mode=auto”</w:t>
      </w:r>
    </w:p>
    <w:p w:rsidR="00D50932" w:rsidRDefault="00D50932" w:rsidP="00D50932">
      <w:pPr>
        <w:pStyle w:val="SubSection"/>
        <w:numPr>
          <w:ilvl w:val="4"/>
          <w:numId w:val="1"/>
        </w:numPr>
      </w:pPr>
      <w:r>
        <w:t>Where ent5 is the etherchannel adapter</w:t>
      </w:r>
    </w:p>
    <w:p w:rsidR="003C1098" w:rsidRDefault="003C1098" w:rsidP="003C1098">
      <w:pPr>
        <w:pStyle w:val="SubSection"/>
        <w:numPr>
          <w:ilvl w:val="3"/>
          <w:numId w:val="1"/>
        </w:numPr>
      </w:pPr>
      <w:r>
        <w:t>The above command will generate a new virtual SEA adapter and this SEA adapter can be used to assign an IP for this VIO server via the next command</w:t>
      </w:r>
      <w:r w:rsidR="00E433E8">
        <w:t xml:space="preserve">.  Note: ha_mode=auto is very critical…  otherwise the two VIO servers will be fighting as primary for the SEA… with auto mode, it uses priority setting in the LPAR definition.. one of the LPAR profile should be set as priority 1 and one should be set as priority 2.  Priority 1 will be the primary SEA adapter.   Use errpt command to check and ensure one VIO server is primary and one as backup.  </w:t>
      </w:r>
    </w:p>
    <w:p w:rsidR="003C1098" w:rsidRDefault="003C1098" w:rsidP="003C1098">
      <w:pPr>
        <w:pStyle w:val="SubSection"/>
        <w:numPr>
          <w:ilvl w:val="3"/>
          <w:numId w:val="1"/>
        </w:numPr>
      </w:pPr>
      <w:r>
        <w:t>mktcpip –hostname uXv824XX –inetaddr 172.XXX.XXX.XXX –interface en6 –netmask 255.255.255.0 –gateway 172.XXX.XXX.1 –nsrvaddr 172.22.227.70 –nsrvdomain ishealth.net</w:t>
      </w:r>
    </w:p>
    <w:p w:rsidR="00524B40" w:rsidRDefault="00524B40" w:rsidP="003C1098">
      <w:pPr>
        <w:pStyle w:val="SubSection"/>
        <w:numPr>
          <w:ilvl w:val="3"/>
          <w:numId w:val="1"/>
        </w:numPr>
      </w:pPr>
      <w:r>
        <w:t>Note:  Do not assign IP under the root shell via smitty</w:t>
      </w:r>
    </w:p>
    <w:p w:rsidR="00524B40" w:rsidRDefault="00524B40" w:rsidP="00524B40">
      <w:pPr>
        <w:pStyle w:val="SubSection"/>
      </w:pPr>
      <w:r>
        <w:t>DNS and time related configuration</w:t>
      </w:r>
    </w:p>
    <w:p w:rsidR="00524B40" w:rsidRDefault="00524B40" w:rsidP="00524B40">
      <w:pPr>
        <w:pStyle w:val="SubSection"/>
        <w:numPr>
          <w:ilvl w:val="2"/>
          <w:numId w:val="1"/>
        </w:numPr>
      </w:pPr>
      <w:r>
        <w:t>NTP configuration</w:t>
      </w:r>
    </w:p>
    <w:p w:rsidR="00524B40" w:rsidRDefault="00524B40" w:rsidP="00524B40">
      <w:pPr>
        <w:pStyle w:val="SubSection"/>
        <w:numPr>
          <w:ilvl w:val="3"/>
          <w:numId w:val="1"/>
        </w:numPr>
      </w:pPr>
      <w:r>
        <w:t>Vi /etc/ntp.conf</w:t>
      </w:r>
    </w:p>
    <w:p w:rsidR="00524B40" w:rsidRDefault="00524B40" w:rsidP="00524B40">
      <w:pPr>
        <w:pStyle w:val="SubSection"/>
        <w:numPr>
          <w:ilvl w:val="3"/>
          <w:numId w:val="1"/>
        </w:numPr>
      </w:pPr>
      <w:r>
        <w:t>Add entry “server nettime.lan.ishealth.net”</w:t>
      </w:r>
    </w:p>
    <w:p w:rsidR="00524B40" w:rsidRDefault="00524B40" w:rsidP="00524B40">
      <w:pPr>
        <w:pStyle w:val="SubSection"/>
        <w:numPr>
          <w:ilvl w:val="3"/>
          <w:numId w:val="1"/>
        </w:numPr>
      </w:pPr>
      <w:r>
        <w:t>Startsrc –s xntpd</w:t>
      </w:r>
    </w:p>
    <w:p w:rsidR="00524B40" w:rsidRDefault="00524B40" w:rsidP="00524B40">
      <w:pPr>
        <w:pStyle w:val="SubSection"/>
        <w:numPr>
          <w:ilvl w:val="3"/>
          <w:numId w:val="1"/>
        </w:numPr>
      </w:pPr>
      <w:r>
        <w:t>Vi /etc/rc.tcpip</w:t>
      </w:r>
    </w:p>
    <w:p w:rsidR="00524B40" w:rsidRDefault="00524B40" w:rsidP="00524B40">
      <w:pPr>
        <w:pStyle w:val="SubSection"/>
        <w:numPr>
          <w:ilvl w:val="3"/>
          <w:numId w:val="1"/>
        </w:numPr>
      </w:pPr>
      <w:r>
        <w:t>Remove the # (comment) from line for xntpd</w:t>
      </w:r>
    </w:p>
    <w:p w:rsidR="00524B40" w:rsidRDefault="00524B40" w:rsidP="00524B40">
      <w:pPr>
        <w:pStyle w:val="SubSection"/>
        <w:numPr>
          <w:ilvl w:val="3"/>
          <w:numId w:val="1"/>
        </w:numPr>
      </w:pPr>
      <w:r>
        <w:t>Note: Check the time zone to make it matches the time zone for all other cluster nodes (if this VIO server is to be joined to a cluster)</w:t>
      </w:r>
    </w:p>
    <w:p w:rsidR="00524B40" w:rsidRDefault="00524B40" w:rsidP="00524B40">
      <w:pPr>
        <w:pStyle w:val="SubSection"/>
        <w:numPr>
          <w:ilvl w:val="2"/>
          <w:numId w:val="1"/>
        </w:numPr>
      </w:pPr>
      <w:r>
        <w:t>Hosts file</w:t>
      </w:r>
    </w:p>
    <w:p w:rsidR="00524B40" w:rsidRDefault="00524B40" w:rsidP="00524B40">
      <w:pPr>
        <w:pStyle w:val="SubSection"/>
        <w:numPr>
          <w:ilvl w:val="3"/>
          <w:numId w:val="1"/>
        </w:numPr>
      </w:pPr>
      <w:r>
        <w:t>Vi /etc/hosts</w:t>
      </w:r>
    </w:p>
    <w:p w:rsidR="00524B40" w:rsidRDefault="00524B40" w:rsidP="00524B40">
      <w:pPr>
        <w:pStyle w:val="SubSection"/>
        <w:numPr>
          <w:ilvl w:val="4"/>
          <w:numId w:val="1"/>
        </w:numPr>
      </w:pPr>
      <w:r>
        <w:t xml:space="preserve">Add IP address and host name for each of the nodes that are part of the cluster.  </w:t>
      </w:r>
    </w:p>
    <w:p w:rsidR="00524B40" w:rsidRDefault="00524B40" w:rsidP="00524B40">
      <w:pPr>
        <w:pStyle w:val="SubSection"/>
        <w:numPr>
          <w:ilvl w:val="4"/>
          <w:numId w:val="1"/>
        </w:numPr>
      </w:pPr>
      <w:r>
        <w:t>Note:  This is critical in case the DNS server is not available the cluster will continue to function with bringing down nodes that can be be resolved with name/IP</w:t>
      </w:r>
    </w:p>
    <w:p w:rsidR="00524B40" w:rsidRDefault="00524B40" w:rsidP="00524B40">
      <w:pPr>
        <w:pStyle w:val="SubSection"/>
        <w:numPr>
          <w:ilvl w:val="2"/>
          <w:numId w:val="1"/>
        </w:numPr>
      </w:pPr>
      <w:r>
        <w:t>Netsvc.conf</w:t>
      </w:r>
    </w:p>
    <w:p w:rsidR="00524B40" w:rsidRDefault="00524B40" w:rsidP="00524B40">
      <w:pPr>
        <w:pStyle w:val="SubSection"/>
        <w:numPr>
          <w:ilvl w:val="3"/>
          <w:numId w:val="1"/>
        </w:numPr>
      </w:pPr>
      <w:r>
        <w:lastRenderedPageBreak/>
        <w:t>Vi /etc/netsvc.conf</w:t>
      </w:r>
    </w:p>
    <w:p w:rsidR="00524B40" w:rsidRDefault="00524B40" w:rsidP="00524B40">
      <w:pPr>
        <w:pStyle w:val="SubSection"/>
        <w:numPr>
          <w:ilvl w:val="3"/>
          <w:numId w:val="1"/>
        </w:numPr>
      </w:pPr>
      <w:r>
        <w:t>Add entry “hosts = local, bind”</w:t>
      </w:r>
    </w:p>
    <w:p w:rsidR="00947BA3" w:rsidRDefault="00524B40" w:rsidP="00947BA3">
      <w:pPr>
        <w:pStyle w:val="SubSection"/>
        <w:numPr>
          <w:ilvl w:val="4"/>
          <w:numId w:val="1"/>
        </w:numPr>
      </w:pPr>
      <w:r>
        <w:t>Note:  This is to perform DNS lookup on local host file first before reaching to DNS servers</w:t>
      </w:r>
    </w:p>
    <w:p w:rsidR="00BF20CA" w:rsidRDefault="00BF20CA" w:rsidP="00947BA3">
      <w:pPr>
        <w:pStyle w:val="SubSection"/>
      </w:pPr>
      <w:r>
        <w:t>Shared Storage Pool (SSP)</w:t>
      </w:r>
    </w:p>
    <w:p w:rsidR="00BF20CA" w:rsidRDefault="0085282D" w:rsidP="00BF20CA">
      <w:pPr>
        <w:pStyle w:val="SubSection"/>
        <w:numPr>
          <w:ilvl w:val="2"/>
          <w:numId w:val="1"/>
        </w:numPr>
      </w:pPr>
      <w:r>
        <w:t xml:space="preserve">SSP and </w:t>
      </w:r>
      <w:r w:rsidR="00BF20CA">
        <w:t>cluster related commands</w:t>
      </w:r>
    </w:p>
    <w:p w:rsidR="00BF20CA" w:rsidRDefault="00BF20CA" w:rsidP="00BF20CA">
      <w:pPr>
        <w:pStyle w:val="SubSection"/>
        <w:numPr>
          <w:ilvl w:val="3"/>
          <w:numId w:val="1"/>
        </w:numPr>
      </w:pPr>
      <w:r>
        <w:t>cluster –create –clustername TEST_Cluster1 –sp TEST_SSP1 –repopvs hdiskpower0 –sppvs hdiskpower1 hdiskpower2  (where hdiskpower0 is the cluster repository disk, and hdiskpower1 and hdiskpower2 are the shared storage pool data disks)</w:t>
      </w:r>
    </w:p>
    <w:p w:rsidR="00BF20CA" w:rsidRDefault="00BF20CA" w:rsidP="00BF20CA">
      <w:pPr>
        <w:pStyle w:val="SubSection"/>
        <w:numPr>
          <w:ilvl w:val="3"/>
          <w:numId w:val="1"/>
        </w:numPr>
      </w:pPr>
      <w:r>
        <w:t>cluster –addnode –clustername TEST_Cluster1 –hostname ubv82410 (add node to cluster)</w:t>
      </w:r>
    </w:p>
    <w:p w:rsidR="00BF20CA" w:rsidRDefault="00BF20CA" w:rsidP="00BF20CA">
      <w:pPr>
        <w:pStyle w:val="SubSection"/>
        <w:numPr>
          <w:ilvl w:val="3"/>
          <w:numId w:val="1"/>
        </w:numPr>
      </w:pPr>
      <w:r>
        <w:t>cluster –rmnode –clustername TEST_Cluster1 –hostname ubv82410 (remove node from cluster)</w:t>
      </w:r>
    </w:p>
    <w:p w:rsidR="00BF20CA" w:rsidRDefault="00BF20CA" w:rsidP="00BF20CA">
      <w:pPr>
        <w:pStyle w:val="SubSection"/>
        <w:numPr>
          <w:ilvl w:val="3"/>
          <w:numId w:val="1"/>
        </w:numPr>
      </w:pPr>
      <w:r>
        <w:t>cluster –status –verbose (cluster status in verbose mode and DBN is the main cluster node)</w:t>
      </w:r>
    </w:p>
    <w:p w:rsidR="004B5983" w:rsidRDefault="004B5983" w:rsidP="00BF20CA">
      <w:pPr>
        <w:pStyle w:val="SubSection"/>
        <w:numPr>
          <w:ilvl w:val="3"/>
          <w:numId w:val="1"/>
        </w:numPr>
      </w:pPr>
      <w:r>
        <w:t>pv –remove –Clustername DR_Cluster1 –sp DR_SSP1 –pv hdiskpower1 (this command can be used to remove LUN from SSP and use it as a migration tool from moving data from one LUN to another)</w:t>
      </w:r>
    </w:p>
    <w:p w:rsidR="004B5983" w:rsidRDefault="004B5983" w:rsidP="00BF20CA">
      <w:pPr>
        <w:pStyle w:val="SubSection"/>
        <w:numPr>
          <w:ilvl w:val="3"/>
          <w:numId w:val="1"/>
        </w:numPr>
      </w:pPr>
      <w:r>
        <w:t>lscluster –d (show all the disks associated with SSP cluster)</w:t>
      </w:r>
    </w:p>
    <w:p w:rsidR="00947BA3" w:rsidRDefault="00947BA3" w:rsidP="00947BA3">
      <w:pPr>
        <w:pStyle w:val="SubSection"/>
      </w:pPr>
      <w:r>
        <w:t>Note for AIX clients consuming virtual disks from VIO servers</w:t>
      </w:r>
    </w:p>
    <w:p w:rsidR="00947BA3" w:rsidRDefault="00947BA3" w:rsidP="00947BA3">
      <w:pPr>
        <w:pStyle w:val="SubSection"/>
        <w:numPr>
          <w:ilvl w:val="2"/>
          <w:numId w:val="1"/>
        </w:numPr>
      </w:pPr>
      <w:r>
        <w:t>Enable auto-path recovery</w:t>
      </w:r>
    </w:p>
    <w:p w:rsidR="00947BA3" w:rsidRDefault="00947BA3" w:rsidP="00947BA3">
      <w:pPr>
        <w:pStyle w:val="SubSection"/>
        <w:numPr>
          <w:ilvl w:val="3"/>
          <w:numId w:val="1"/>
        </w:numPr>
      </w:pPr>
      <w:r>
        <w:t>Chdev –l hdisk0 –a hcheck_interval=60 –P</w:t>
      </w:r>
    </w:p>
    <w:p w:rsidR="00947BA3" w:rsidRDefault="00947BA3" w:rsidP="00947BA3">
      <w:pPr>
        <w:pStyle w:val="SubSection"/>
        <w:numPr>
          <w:ilvl w:val="3"/>
          <w:numId w:val="1"/>
        </w:numPr>
      </w:pPr>
      <w:r>
        <w:t>Chdev –l hdisk0 –a hcheck_mode=nonactive –P</w:t>
      </w:r>
    </w:p>
    <w:p w:rsidR="00947BA3" w:rsidRDefault="00947BA3" w:rsidP="00947BA3">
      <w:pPr>
        <w:pStyle w:val="SubSection"/>
        <w:numPr>
          <w:ilvl w:val="2"/>
          <w:numId w:val="1"/>
        </w:numPr>
      </w:pPr>
      <w:r>
        <w:t>To enable a failed path on MPIO clients</w:t>
      </w:r>
    </w:p>
    <w:p w:rsidR="00947BA3" w:rsidRDefault="00947BA3" w:rsidP="00947BA3">
      <w:pPr>
        <w:pStyle w:val="SubSection"/>
        <w:numPr>
          <w:ilvl w:val="3"/>
          <w:numId w:val="1"/>
        </w:numPr>
      </w:pPr>
      <w:r>
        <w:t>Chpath –l hdisk –p vscsi1 –s disable</w:t>
      </w:r>
    </w:p>
    <w:p w:rsidR="00947BA3" w:rsidRDefault="00947BA3" w:rsidP="00947BA3">
      <w:pPr>
        <w:pStyle w:val="SubSection"/>
        <w:numPr>
          <w:ilvl w:val="3"/>
          <w:numId w:val="1"/>
        </w:numPr>
      </w:pPr>
      <w:r>
        <w:t>Chpath –l hdisk –p vscsi1 –s enable</w:t>
      </w:r>
    </w:p>
    <w:p w:rsidR="00947BA3" w:rsidRDefault="00947BA3" w:rsidP="00947BA3">
      <w:pPr>
        <w:pStyle w:val="SubSection"/>
        <w:numPr>
          <w:ilvl w:val="3"/>
          <w:numId w:val="1"/>
        </w:numPr>
      </w:pPr>
      <w:r>
        <w:t>Note: Use lspath command to ensure all paths are active</w:t>
      </w:r>
    </w:p>
    <w:p w:rsidR="00947BA3" w:rsidRPr="00C74932" w:rsidRDefault="00947BA3" w:rsidP="00947BA3">
      <w:pPr>
        <w:pStyle w:val="SubSection"/>
        <w:numPr>
          <w:ilvl w:val="0"/>
          <w:numId w:val="0"/>
        </w:numPr>
        <w:ind w:left="720"/>
      </w:pPr>
      <w:r>
        <w:tab/>
      </w:r>
    </w:p>
    <w:p w:rsidR="00C67B6F" w:rsidRDefault="00C67B6F" w:rsidP="00C67B6F">
      <w:pPr>
        <w:pStyle w:val="SectionTitleLarge"/>
      </w:pPr>
      <w:r>
        <w:t>Definitions</w:t>
      </w:r>
    </w:p>
    <w:p w:rsidR="00656EC3" w:rsidRPr="00BF0B78" w:rsidRDefault="00656EC3" w:rsidP="00830C28">
      <w:r w:rsidRPr="000E6BB0">
        <w:lastRenderedPageBreak/>
        <w:t xml:space="preserve">See </w:t>
      </w:r>
      <w:r w:rsidRPr="00BF0B78">
        <w:rPr>
          <w:i/>
        </w:rPr>
        <w:t>Technology &amp; Security Definitions &amp; Acronyms</w:t>
      </w:r>
      <w:r w:rsidRPr="000E6BB0">
        <w:t xml:space="preserve"> </w:t>
      </w:r>
      <w:r>
        <w:t xml:space="preserve">document </w:t>
      </w:r>
      <w:r w:rsidRPr="000E6BB0">
        <w:t xml:space="preserve">located in </w:t>
      </w:r>
      <w:proofErr w:type="spellStart"/>
      <w:r w:rsidRPr="000E6BB0">
        <w:t>PolicyManager</w:t>
      </w:r>
      <w:proofErr w:type="spellEnd"/>
      <w:r w:rsidRPr="000E6BB0">
        <w:t xml:space="preserve"> </w:t>
      </w:r>
      <w:r>
        <w:t>under</w:t>
      </w:r>
      <w:r w:rsidRPr="000E6BB0">
        <w:t xml:space="preserve"> Kindred Health &gt; Security</w:t>
      </w:r>
      <w:r>
        <w:t>.</w:t>
      </w:r>
    </w:p>
    <w:p w:rsidR="00656EC3" w:rsidRPr="000E6BB0" w:rsidRDefault="00656EC3" w:rsidP="00656EC3">
      <w:pPr>
        <w:rPr>
          <w:b/>
        </w:rPr>
      </w:pPr>
    </w:p>
    <w:p w:rsidR="00956049" w:rsidRDefault="00FB3A7D" w:rsidP="00656EC3">
      <w:pPr>
        <w:rPr>
          <w:rStyle w:val="Hyperlink"/>
        </w:rPr>
      </w:pPr>
      <w:r>
        <w:t>Policy Manager</w:t>
      </w:r>
      <w:r w:rsidR="00656EC3">
        <w:t xml:space="preserve"> </w:t>
      </w:r>
      <w:r w:rsidR="00656EC3" w:rsidRPr="000E6BB0">
        <w:t xml:space="preserve">Link: </w:t>
      </w:r>
    </w:p>
    <w:p w:rsidR="00956049" w:rsidRDefault="002F1E8F" w:rsidP="00656EC3">
      <w:pPr>
        <w:rPr>
          <w:rStyle w:val="Hyperlink"/>
        </w:rPr>
      </w:pPr>
      <w:hyperlink r:id="rId8" w:history="1">
        <w:r w:rsidR="00956049" w:rsidRPr="0019214A">
          <w:rPr>
            <w:rStyle w:val="Hyperlink"/>
          </w:rPr>
          <w:t>https://kindred.policymedical.net/policymed/anonymous/docViewer?stoken=09e41285-8848-43c1-bfc3-9d58623354f3&amp;dtoken=1384c561-0d16-4f80-9112-94f78edb6c5c</w:t>
        </w:r>
      </w:hyperlink>
    </w:p>
    <w:p w:rsidR="00EA389D" w:rsidRDefault="00EA389D" w:rsidP="00656EC3">
      <w:pPr>
        <w:rPr>
          <w:rStyle w:val="Hyperlink"/>
        </w:rPr>
      </w:pPr>
    </w:p>
    <w:p w:rsidR="000331EB" w:rsidRDefault="00C67B6F" w:rsidP="00B83AB8">
      <w:pPr>
        <w:pStyle w:val="SectionTitleLarge"/>
      </w:pPr>
      <w:bookmarkStart w:id="0" w:name="_Toc449699945"/>
      <w:r>
        <w:t>Responsibility and Compliance</w:t>
      </w:r>
      <w:bookmarkEnd w:id="0"/>
    </w:p>
    <w:p w:rsidR="000331EB" w:rsidRDefault="00C67B6F" w:rsidP="00C67B6F">
      <w:pPr>
        <w:pStyle w:val="SectionTitleLarge"/>
      </w:pPr>
      <w:r>
        <w:t>Document Control</w:t>
      </w:r>
    </w:p>
    <w:p w:rsidR="00C67B6F" w:rsidRDefault="00C67B6F" w:rsidP="00C67B6F">
      <w:pPr>
        <w:pStyle w:val="SubSection"/>
      </w:pPr>
      <w:bookmarkStart w:id="1" w:name="_Toc449699948"/>
      <w:r>
        <w:t>History</w:t>
      </w:r>
      <w:bookmarkEnd w:id="1"/>
    </w:p>
    <w:tbl>
      <w:tblPr>
        <w:tblStyle w:val="TableGrid"/>
        <w:tblW w:w="10080" w:type="dxa"/>
        <w:tblInd w:w="432" w:type="dxa"/>
        <w:tblLook w:val="04A0" w:firstRow="1" w:lastRow="0" w:firstColumn="1" w:lastColumn="0" w:noHBand="0" w:noVBand="1"/>
      </w:tblPr>
      <w:tblGrid>
        <w:gridCol w:w="1472"/>
        <w:gridCol w:w="1019"/>
        <w:gridCol w:w="996"/>
        <w:gridCol w:w="3991"/>
        <w:gridCol w:w="2602"/>
      </w:tblGrid>
      <w:tr w:rsidR="00A95B77" w:rsidRPr="004457BC" w:rsidTr="005945B2">
        <w:tc>
          <w:tcPr>
            <w:tcW w:w="1330" w:type="dxa"/>
            <w:shd w:val="clear" w:color="auto" w:fill="5B9BD5" w:themeFill="accent1"/>
            <w:vAlign w:val="center"/>
          </w:tcPr>
          <w:p w:rsidR="00A95B77" w:rsidRPr="002E3D44" w:rsidRDefault="00A95B77" w:rsidP="00F86483">
            <w:pPr>
              <w:pStyle w:val="NoSpacing"/>
              <w:rPr>
                <w:color w:val="FFFFFF" w:themeColor="background1"/>
                <w:sz w:val="26"/>
                <w:szCs w:val="26"/>
              </w:rPr>
            </w:pPr>
            <w:r w:rsidRPr="002E3D44">
              <w:rPr>
                <w:color w:val="FFFFFF" w:themeColor="background1"/>
                <w:sz w:val="26"/>
                <w:szCs w:val="26"/>
              </w:rPr>
              <w:t>Date</w:t>
            </w:r>
          </w:p>
        </w:tc>
        <w:tc>
          <w:tcPr>
            <w:tcW w:w="1019" w:type="dxa"/>
            <w:shd w:val="clear" w:color="auto" w:fill="5B9BD5" w:themeFill="accent1"/>
            <w:vAlign w:val="center"/>
          </w:tcPr>
          <w:p w:rsidR="00A95B77" w:rsidRPr="002E3D44" w:rsidRDefault="00A95B77" w:rsidP="00F86483">
            <w:pPr>
              <w:pStyle w:val="NoSpacing"/>
              <w:jc w:val="center"/>
              <w:rPr>
                <w:color w:val="FFFFFF" w:themeColor="background1"/>
                <w:sz w:val="26"/>
                <w:szCs w:val="26"/>
              </w:rPr>
            </w:pPr>
            <w:r w:rsidRPr="002E3D44">
              <w:rPr>
                <w:color w:val="FFFFFF" w:themeColor="background1"/>
                <w:sz w:val="26"/>
                <w:szCs w:val="26"/>
              </w:rPr>
              <w:t>Version</w:t>
            </w:r>
          </w:p>
        </w:tc>
        <w:tc>
          <w:tcPr>
            <w:tcW w:w="996" w:type="dxa"/>
            <w:shd w:val="clear" w:color="auto" w:fill="5B9BD5" w:themeFill="accent1"/>
            <w:vAlign w:val="center"/>
          </w:tcPr>
          <w:p w:rsidR="00A95B77" w:rsidRPr="002E3D44" w:rsidRDefault="00A95B77" w:rsidP="00F86483">
            <w:pPr>
              <w:pStyle w:val="NoSpacing"/>
              <w:jc w:val="center"/>
              <w:rPr>
                <w:color w:val="FFFFFF" w:themeColor="background1"/>
                <w:sz w:val="26"/>
                <w:szCs w:val="26"/>
              </w:rPr>
            </w:pPr>
            <w:r w:rsidRPr="002E3D44">
              <w:rPr>
                <w:color w:val="FFFFFF" w:themeColor="background1"/>
                <w:sz w:val="26"/>
                <w:szCs w:val="26"/>
              </w:rPr>
              <w:t>Section</w:t>
            </w:r>
          </w:p>
        </w:tc>
        <w:tc>
          <w:tcPr>
            <w:tcW w:w="4082" w:type="dxa"/>
            <w:shd w:val="clear" w:color="auto" w:fill="5B9BD5" w:themeFill="accent1"/>
            <w:vAlign w:val="center"/>
          </w:tcPr>
          <w:p w:rsidR="00A95B77" w:rsidRPr="002E3D44" w:rsidRDefault="00A95B77" w:rsidP="00F86483">
            <w:pPr>
              <w:pStyle w:val="NoSpacing"/>
              <w:rPr>
                <w:color w:val="FFFFFF" w:themeColor="background1"/>
                <w:sz w:val="26"/>
                <w:szCs w:val="26"/>
              </w:rPr>
            </w:pPr>
            <w:r w:rsidRPr="002E3D44">
              <w:rPr>
                <w:color w:val="FFFFFF" w:themeColor="background1"/>
                <w:sz w:val="26"/>
                <w:szCs w:val="26"/>
              </w:rPr>
              <w:t>Change</w:t>
            </w:r>
          </w:p>
        </w:tc>
        <w:tc>
          <w:tcPr>
            <w:tcW w:w="2653" w:type="dxa"/>
            <w:shd w:val="clear" w:color="auto" w:fill="5B9BD5" w:themeFill="accent1"/>
            <w:vAlign w:val="center"/>
          </w:tcPr>
          <w:p w:rsidR="00A95B77" w:rsidRPr="002E3D44" w:rsidRDefault="00A95B77" w:rsidP="00F86483">
            <w:pPr>
              <w:pStyle w:val="NoSpacing"/>
              <w:rPr>
                <w:color w:val="FFFFFF" w:themeColor="background1"/>
                <w:sz w:val="26"/>
                <w:szCs w:val="26"/>
              </w:rPr>
            </w:pPr>
            <w:r w:rsidRPr="002E3D44">
              <w:rPr>
                <w:color w:val="FFFFFF" w:themeColor="background1"/>
                <w:sz w:val="26"/>
                <w:szCs w:val="26"/>
              </w:rPr>
              <w:t>Author</w:t>
            </w:r>
          </w:p>
        </w:tc>
      </w:tr>
      <w:tr w:rsidR="00A95B77" w:rsidTr="005945B2">
        <w:tc>
          <w:tcPr>
            <w:tcW w:w="1330" w:type="dxa"/>
          </w:tcPr>
          <w:p w:rsidR="00A95B77" w:rsidRPr="002E3D44" w:rsidRDefault="00825EE7" w:rsidP="00F86483">
            <w:pPr>
              <w:pStyle w:val="NoSpacing"/>
              <w:rPr>
                <w:sz w:val="26"/>
                <w:szCs w:val="26"/>
              </w:rPr>
            </w:pPr>
            <w:r>
              <w:rPr>
                <w:sz w:val="26"/>
                <w:szCs w:val="26"/>
              </w:rPr>
              <w:t>09/14/2017</w:t>
            </w:r>
          </w:p>
        </w:tc>
        <w:tc>
          <w:tcPr>
            <w:tcW w:w="1019" w:type="dxa"/>
          </w:tcPr>
          <w:p w:rsidR="00A95B77" w:rsidRPr="002E3D44" w:rsidRDefault="00825EE7" w:rsidP="00F86483">
            <w:pPr>
              <w:pStyle w:val="NoSpacing"/>
              <w:rPr>
                <w:sz w:val="26"/>
                <w:szCs w:val="26"/>
              </w:rPr>
            </w:pPr>
            <w:r>
              <w:rPr>
                <w:sz w:val="26"/>
                <w:szCs w:val="26"/>
              </w:rPr>
              <w:t>V1.0</w:t>
            </w:r>
          </w:p>
        </w:tc>
        <w:tc>
          <w:tcPr>
            <w:tcW w:w="996" w:type="dxa"/>
          </w:tcPr>
          <w:p w:rsidR="00A95B77" w:rsidRPr="002E3D44" w:rsidRDefault="00A95B77" w:rsidP="00F86483">
            <w:pPr>
              <w:pStyle w:val="NoSpacing"/>
              <w:rPr>
                <w:sz w:val="26"/>
                <w:szCs w:val="26"/>
              </w:rPr>
            </w:pPr>
          </w:p>
        </w:tc>
        <w:tc>
          <w:tcPr>
            <w:tcW w:w="4082" w:type="dxa"/>
            <w:vAlign w:val="center"/>
          </w:tcPr>
          <w:p w:rsidR="00A95B77" w:rsidRPr="002E3D44" w:rsidRDefault="00825EE7" w:rsidP="00F86483">
            <w:pPr>
              <w:pStyle w:val="NoSpacing"/>
              <w:rPr>
                <w:sz w:val="26"/>
                <w:szCs w:val="26"/>
              </w:rPr>
            </w:pPr>
            <w:r>
              <w:rPr>
                <w:sz w:val="26"/>
                <w:szCs w:val="26"/>
              </w:rPr>
              <w:t>Initial draft</w:t>
            </w:r>
          </w:p>
        </w:tc>
        <w:tc>
          <w:tcPr>
            <w:tcW w:w="2653" w:type="dxa"/>
          </w:tcPr>
          <w:p w:rsidR="00A95B77" w:rsidRPr="002E3D44" w:rsidRDefault="00825EE7" w:rsidP="00F86483">
            <w:pPr>
              <w:pStyle w:val="NoSpacing"/>
              <w:rPr>
                <w:sz w:val="26"/>
                <w:szCs w:val="26"/>
              </w:rPr>
            </w:pPr>
            <w:proofErr w:type="spellStart"/>
            <w:r>
              <w:rPr>
                <w:sz w:val="26"/>
                <w:szCs w:val="26"/>
              </w:rPr>
              <w:t>Eng</w:t>
            </w:r>
            <w:proofErr w:type="spellEnd"/>
            <w:r>
              <w:rPr>
                <w:sz w:val="26"/>
                <w:szCs w:val="26"/>
              </w:rPr>
              <w:t xml:space="preserve"> Ng</w:t>
            </w:r>
          </w:p>
        </w:tc>
      </w:tr>
      <w:tr w:rsidR="00A95B77" w:rsidRPr="000754D7" w:rsidTr="005945B2">
        <w:tc>
          <w:tcPr>
            <w:tcW w:w="1330" w:type="dxa"/>
          </w:tcPr>
          <w:p w:rsidR="00A95B77" w:rsidRPr="002E3D44" w:rsidRDefault="009B557A" w:rsidP="00F86483">
            <w:pPr>
              <w:pStyle w:val="NoSpacing"/>
              <w:rPr>
                <w:sz w:val="26"/>
                <w:szCs w:val="26"/>
              </w:rPr>
            </w:pPr>
            <w:r>
              <w:rPr>
                <w:sz w:val="26"/>
                <w:szCs w:val="26"/>
              </w:rPr>
              <w:t>11/01/2021</w:t>
            </w:r>
          </w:p>
        </w:tc>
        <w:tc>
          <w:tcPr>
            <w:tcW w:w="1019" w:type="dxa"/>
          </w:tcPr>
          <w:p w:rsidR="00A95B77" w:rsidRPr="002E3D44" w:rsidRDefault="009B557A" w:rsidP="00F86483">
            <w:pPr>
              <w:pStyle w:val="NoSpacing"/>
              <w:rPr>
                <w:sz w:val="26"/>
                <w:szCs w:val="26"/>
              </w:rPr>
            </w:pPr>
            <w:r>
              <w:rPr>
                <w:sz w:val="26"/>
                <w:szCs w:val="26"/>
              </w:rPr>
              <w:t>V</w:t>
            </w:r>
            <w:r w:rsidR="002F1E8F">
              <w:rPr>
                <w:sz w:val="26"/>
                <w:szCs w:val="26"/>
              </w:rPr>
              <w:t>1.1</w:t>
            </w:r>
            <w:bookmarkStart w:id="2" w:name="_GoBack"/>
            <w:bookmarkEnd w:id="2"/>
          </w:p>
        </w:tc>
        <w:tc>
          <w:tcPr>
            <w:tcW w:w="996" w:type="dxa"/>
          </w:tcPr>
          <w:p w:rsidR="00A95B77" w:rsidRPr="002E3D44" w:rsidRDefault="00A95B77" w:rsidP="00F86483">
            <w:pPr>
              <w:pStyle w:val="NoSpacing"/>
              <w:rPr>
                <w:sz w:val="26"/>
                <w:szCs w:val="26"/>
              </w:rPr>
            </w:pPr>
          </w:p>
        </w:tc>
        <w:tc>
          <w:tcPr>
            <w:tcW w:w="4082" w:type="dxa"/>
            <w:vAlign w:val="center"/>
          </w:tcPr>
          <w:p w:rsidR="00A95B77" w:rsidRPr="002E3D44" w:rsidRDefault="009B557A" w:rsidP="00F86483">
            <w:pPr>
              <w:pStyle w:val="NoSpacing"/>
              <w:rPr>
                <w:sz w:val="26"/>
                <w:szCs w:val="26"/>
              </w:rPr>
            </w:pPr>
            <w:r>
              <w:rPr>
                <w:sz w:val="26"/>
                <w:szCs w:val="26"/>
              </w:rPr>
              <w:t>Revisions to SEA section</w:t>
            </w:r>
          </w:p>
        </w:tc>
        <w:tc>
          <w:tcPr>
            <w:tcW w:w="2653" w:type="dxa"/>
          </w:tcPr>
          <w:p w:rsidR="00A95B77" w:rsidRPr="002E3D44" w:rsidRDefault="009B557A" w:rsidP="00F86483">
            <w:pPr>
              <w:pStyle w:val="NoSpacing"/>
              <w:rPr>
                <w:sz w:val="26"/>
                <w:szCs w:val="26"/>
              </w:rPr>
            </w:pPr>
            <w:r>
              <w:rPr>
                <w:sz w:val="26"/>
                <w:szCs w:val="26"/>
              </w:rPr>
              <w:t>Patrick Warren</w:t>
            </w:r>
          </w:p>
        </w:tc>
      </w:tr>
    </w:tbl>
    <w:p w:rsidR="00A95B77" w:rsidRDefault="00A95B77" w:rsidP="00A95B77">
      <w:pPr>
        <w:pStyle w:val="SectionTitleLarge"/>
        <w:numPr>
          <w:ilvl w:val="0"/>
          <w:numId w:val="0"/>
        </w:numPr>
        <w:ind w:left="360" w:hanging="360"/>
      </w:pPr>
    </w:p>
    <w:p w:rsidR="00C67B6F" w:rsidRDefault="00C67B6F" w:rsidP="00C67B6F">
      <w:pPr>
        <w:pStyle w:val="SubSection"/>
      </w:pPr>
      <w:r>
        <w:t xml:space="preserve">  </w:t>
      </w:r>
      <w:bookmarkStart w:id="3" w:name="_Toc449699949"/>
      <w:r>
        <w:t>Approvals</w:t>
      </w:r>
      <w:bookmarkEnd w:id="3"/>
    </w:p>
    <w:p w:rsidR="00C67B6F" w:rsidRDefault="00C67B6F" w:rsidP="00C67B6F">
      <w:pPr>
        <w:pStyle w:val="NoSpacing"/>
      </w:pPr>
    </w:p>
    <w:tbl>
      <w:tblPr>
        <w:tblStyle w:val="TableGrid"/>
        <w:tblW w:w="10080" w:type="dxa"/>
        <w:tblInd w:w="432" w:type="dxa"/>
        <w:tblLook w:val="04A0" w:firstRow="1" w:lastRow="0" w:firstColumn="1" w:lastColumn="0" w:noHBand="0" w:noVBand="1"/>
      </w:tblPr>
      <w:tblGrid>
        <w:gridCol w:w="3373"/>
        <w:gridCol w:w="4235"/>
        <w:gridCol w:w="2472"/>
      </w:tblGrid>
      <w:tr w:rsidR="00A95B77" w:rsidTr="00A95B77">
        <w:tc>
          <w:tcPr>
            <w:tcW w:w="3373" w:type="dxa"/>
            <w:shd w:val="clear" w:color="auto" w:fill="5B9BD5" w:themeFill="accent1"/>
          </w:tcPr>
          <w:p w:rsidR="00A95B77" w:rsidRPr="002E3D44" w:rsidRDefault="00A95B77" w:rsidP="00A95B77">
            <w:pPr>
              <w:pStyle w:val="NoSpacing"/>
              <w:rPr>
                <w:color w:val="FFFFFF" w:themeColor="background1"/>
                <w:sz w:val="26"/>
                <w:szCs w:val="26"/>
              </w:rPr>
            </w:pPr>
            <w:r w:rsidRPr="002E3D44">
              <w:rPr>
                <w:color w:val="FFFFFF" w:themeColor="background1"/>
                <w:sz w:val="26"/>
                <w:szCs w:val="26"/>
              </w:rPr>
              <w:t>Role</w:t>
            </w:r>
          </w:p>
        </w:tc>
        <w:tc>
          <w:tcPr>
            <w:tcW w:w="4235" w:type="dxa"/>
            <w:shd w:val="clear" w:color="auto" w:fill="5B9BD5" w:themeFill="accent1"/>
          </w:tcPr>
          <w:p w:rsidR="00A95B77" w:rsidRPr="002E3D44" w:rsidRDefault="00A95B77" w:rsidP="00A95B77">
            <w:pPr>
              <w:pStyle w:val="NoSpacing"/>
              <w:rPr>
                <w:color w:val="FFFFFF" w:themeColor="background1"/>
                <w:sz w:val="26"/>
                <w:szCs w:val="26"/>
              </w:rPr>
            </w:pPr>
            <w:r w:rsidRPr="002E3D44">
              <w:rPr>
                <w:color w:val="FFFFFF" w:themeColor="background1"/>
                <w:sz w:val="26"/>
                <w:szCs w:val="26"/>
              </w:rPr>
              <w:t>Name</w:t>
            </w:r>
          </w:p>
        </w:tc>
        <w:tc>
          <w:tcPr>
            <w:tcW w:w="2472" w:type="dxa"/>
            <w:shd w:val="clear" w:color="auto" w:fill="5B9BD5" w:themeFill="accent1"/>
          </w:tcPr>
          <w:p w:rsidR="00A95B77" w:rsidRPr="002E3D44" w:rsidRDefault="00A95B77" w:rsidP="00A95B77">
            <w:pPr>
              <w:pStyle w:val="NoSpacing"/>
              <w:rPr>
                <w:color w:val="FFFFFF" w:themeColor="background1"/>
                <w:sz w:val="26"/>
                <w:szCs w:val="26"/>
              </w:rPr>
            </w:pPr>
            <w:r w:rsidRPr="002E3D44">
              <w:rPr>
                <w:color w:val="FFFFFF" w:themeColor="background1"/>
                <w:sz w:val="26"/>
                <w:szCs w:val="26"/>
              </w:rPr>
              <w:t>Approval Date</w:t>
            </w:r>
          </w:p>
        </w:tc>
      </w:tr>
      <w:tr w:rsidR="00A95B77" w:rsidTr="00A95B77">
        <w:tc>
          <w:tcPr>
            <w:tcW w:w="3373" w:type="dxa"/>
          </w:tcPr>
          <w:p w:rsidR="00A95B77" w:rsidRPr="002E3D44" w:rsidRDefault="00A95B77" w:rsidP="00A95B77">
            <w:pPr>
              <w:pStyle w:val="NoSpacing"/>
              <w:rPr>
                <w:sz w:val="26"/>
                <w:szCs w:val="26"/>
              </w:rPr>
            </w:pPr>
          </w:p>
        </w:tc>
        <w:tc>
          <w:tcPr>
            <w:tcW w:w="4235" w:type="dxa"/>
          </w:tcPr>
          <w:p w:rsidR="00A95B77" w:rsidRPr="002E3D44" w:rsidRDefault="00A95B77" w:rsidP="00A95B77">
            <w:pPr>
              <w:pStyle w:val="NoSpacing"/>
              <w:rPr>
                <w:sz w:val="26"/>
                <w:szCs w:val="26"/>
              </w:rPr>
            </w:pPr>
          </w:p>
        </w:tc>
        <w:tc>
          <w:tcPr>
            <w:tcW w:w="2472" w:type="dxa"/>
          </w:tcPr>
          <w:p w:rsidR="00A95B77" w:rsidRPr="002E3D44" w:rsidRDefault="00A95B77" w:rsidP="00A95B77">
            <w:pPr>
              <w:pStyle w:val="NoSpacing"/>
              <w:rPr>
                <w:sz w:val="26"/>
                <w:szCs w:val="26"/>
              </w:rPr>
            </w:pPr>
          </w:p>
        </w:tc>
      </w:tr>
      <w:tr w:rsidR="00982D79" w:rsidTr="00A95B77">
        <w:tc>
          <w:tcPr>
            <w:tcW w:w="3373" w:type="dxa"/>
          </w:tcPr>
          <w:p w:rsidR="00982D79" w:rsidRPr="002E3D44" w:rsidRDefault="00982D79" w:rsidP="00A95B77">
            <w:pPr>
              <w:pStyle w:val="NoSpacing"/>
              <w:rPr>
                <w:sz w:val="26"/>
                <w:szCs w:val="26"/>
              </w:rPr>
            </w:pPr>
          </w:p>
        </w:tc>
        <w:tc>
          <w:tcPr>
            <w:tcW w:w="4235" w:type="dxa"/>
          </w:tcPr>
          <w:p w:rsidR="00982D79" w:rsidRPr="002E3D44" w:rsidRDefault="00982D79" w:rsidP="00A95B77">
            <w:pPr>
              <w:pStyle w:val="NoSpacing"/>
              <w:rPr>
                <w:sz w:val="26"/>
                <w:szCs w:val="26"/>
              </w:rPr>
            </w:pPr>
          </w:p>
        </w:tc>
        <w:tc>
          <w:tcPr>
            <w:tcW w:w="2472" w:type="dxa"/>
          </w:tcPr>
          <w:p w:rsidR="00982D79" w:rsidRPr="002E3D44" w:rsidRDefault="00982D79" w:rsidP="00A95B77">
            <w:pPr>
              <w:pStyle w:val="NoSpacing"/>
              <w:rPr>
                <w:sz w:val="26"/>
                <w:szCs w:val="26"/>
              </w:rPr>
            </w:pPr>
          </w:p>
        </w:tc>
      </w:tr>
    </w:tbl>
    <w:p w:rsidR="001B3DBF" w:rsidRDefault="001B3DBF">
      <w:pPr>
        <w:spacing w:after="160" w:line="259" w:lineRule="auto"/>
      </w:pPr>
    </w:p>
    <w:sectPr w:rsidR="001B3DBF" w:rsidSect="00B02A45">
      <w:headerReference w:type="default" r:id="rId9"/>
      <w:footerReference w:type="default" r:id="rId10"/>
      <w:pgSz w:w="12240" w:h="15840"/>
      <w:pgMar w:top="216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FAD" w:rsidRDefault="00820FAD" w:rsidP="00B02A45">
      <w:r>
        <w:separator/>
      </w:r>
    </w:p>
  </w:endnote>
  <w:endnote w:type="continuationSeparator" w:id="0">
    <w:p w:rsidR="00820FAD" w:rsidRDefault="00820FAD" w:rsidP="00B0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CF8" w:rsidRPr="00912388" w:rsidRDefault="00B81CF8" w:rsidP="00B81CF8">
    <w:pPr>
      <w:pStyle w:val="Footer"/>
      <w:tabs>
        <w:tab w:val="clear" w:pos="9360"/>
        <w:tab w:val="right" w:pos="9720"/>
      </w:tabs>
      <w:ind w:left="-540"/>
      <w:rPr>
        <w:noProof/>
        <w:sz w:val="20"/>
        <w:szCs w:val="20"/>
      </w:rPr>
    </w:pPr>
    <w:r w:rsidRPr="00912388">
      <w:rPr>
        <w:b/>
        <w:sz w:val="20"/>
        <w:szCs w:val="20"/>
      </w:rPr>
      <w:t>Department:</w:t>
    </w:r>
    <w:r w:rsidRPr="00912388">
      <w:rPr>
        <w:sz w:val="20"/>
        <w:szCs w:val="20"/>
      </w:rPr>
      <w:t xml:space="preserve"> </w:t>
    </w:r>
    <w:r w:rsidR="009122F9" w:rsidRPr="00912388">
      <w:rPr>
        <w:sz w:val="20"/>
        <w:szCs w:val="20"/>
      </w:rPr>
      <w:t>Information Systems</w:t>
    </w:r>
    <w:r w:rsidRPr="00912388">
      <w:rPr>
        <w:sz w:val="20"/>
        <w:szCs w:val="20"/>
      </w:rPr>
      <w:tab/>
      <w:t>INTERNAL USE ONLY</w:t>
    </w:r>
    <w:r w:rsidRPr="00912388">
      <w:rPr>
        <w:sz w:val="20"/>
        <w:szCs w:val="20"/>
      </w:rPr>
      <w:tab/>
    </w:r>
    <w:r w:rsidR="00AB1D14" w:rsidRPr="00912388">
      <w:rPr>
        <w:sz w:val="20"/>
        <w:szCs w:val="20"/>
      </w:rPr>
      <w:t>IS-</w:t>
    </w:r>
    <w:r w:rsidR="006171C1" w:rsidRPr="00912388">
      <w:rPr>
        <w:sz w:val="20"/>
        <w:szCs w:val="20"/>
      </w:rPr>
      <w:t>[DEPT]</w:t>
    </w:r>
    <w:r w:rsidR="00AB1D14" w:rsidRPr="00912388">
      <w:rPr>
        <w:sz w:val="20"/>
        <w:szCs w:val="20"/>
      </w:rPr>
      <w:t>-</w:t>
    </w:r>
    <w:proofErr w:type="gramStart"/>
    <w:r w:rsidR="00BE16A5">
      <w:rPr>
        <w:sz w:val="20"/>
        <w:szCs w:val="20"/>
      </w:rPr>
      <w:t>PRO</w:t>
    </w:r>
    <w:r w:rsidR="006171C1" w:rsidRPr="00912388">
      <w:rPr>
        <w:sz w:val="20"/>
        <w:szCs w:val="20"/>
      </w:rPr>
      <w:t>[</w:t>
    </w:r>
    <w:proofErr w:type="gramEnd"/>
    <w:r w:rsidR="006171C1" w:rsidRPr="00912388">
      <w:rPr>
        <w:sz w:val="20"/>
        <w:szCs w:val="20"/>
      </w:rPr>
      <w:t>DOC#]</w:t>
    </w:r>
  </w:p>
  <w:p w:rsidR="00EB128C" w:rsidRPr="00912388" w:rsidRDefault="00B81CF8" w:rsidP="00461ECB">
    <w:pPr>
      <w:pStyle w:val="Footer"/>
      <w:tabs>
        <w:tab w:val="clear" w:pos="9360"/>
        <w:tab w:val="right" w:pos="9720"/>
      </w:tabs>
      <w:ind w:left="-540"/>
      <w:rPr>
        <w:noProof/>
        <w:sz w:val="20"/>
        <w:szCs w:val="20"/>
      </w:rPr>
    </w:pPr>
    <w:r w:rsidRPr="00912388">
      <w:rPr>
        <w:b/>
        <w:sz w:val="20"/>
        <w:szCs w:val="20"/>
      </w:rPr>
      <w:t>Functional Area:</w:t>
    </w:r>
    <w:r w:rsidRPr="00912388">
      <w:rPr>
        <w:sz w:val="20"/>
        <w:szCs w:val="20"/>
      </w:rPr>
      <w:t xml:space="preserve"> </w:t>
    </w:r>
    <w:r w:rsidRPr="00912388">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-715010</wp:posOffset>
              </wp:positionH>
              <wp:positionV relativeFrom="paragraph">
                <wp:posOffset>-294640</wp:posOffset>
              </wp:positionV>
              <wp:extent cx="7395845" cy="0"/>
              <wp:effectExtent l="0" t="19050" r="33655" b="19050"/>
              <wp:wrapNone/>
              <wp:docPr id="1" name="Straight Connector 1"/>
              <wp:cNvGraphicFramePr/>
              <a:graphic xmlns:a="http://schemas.openxmlformats.org/drawingml/2006/main">
                <a:graphicData uri="http://schemas.microsoft.com/office/word/2010/wordprocessingShape">
                  <wps:wsp>
                    <wps:cNvCnPr/>
                    <wps:spPr>
                      <a:xfrm>
                        <a:off x="0" y="0"/>
                        <a:ext cx="739521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4FF9B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23.2pt" to="526.0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" strokecolor="#8eaadb [1944]" strokeweight="2.25pt">
              <v:stroke joinstyle="miter"/>
            </v:line>
          </w:pict>
        </mc:Fallback>
      </mc:AlternateContent>
    </w:r>
    <w:r w:rsidR="00FF1120" w:rsidRPr="00912388">
      <w:rPr>
        <w:sz w:val="20"/>
        <w:szCs w:val="20"/>
      </w:rPr>
      <w:t>Department Name Goes Here</w:t>
    </w:r>
    <w:r w:rsidRPr="00912388">
      <w:rPr>
        <w:sz w:val="20"/>
        <w:szCs w:val="20"/>
      </w:rPr>
      <w:tab/>
    </w:r>
    <w:r w:rsidRPr="00912388">
      <w:rPr>
        <w:sz w:val="20"/>
        <w:szCs w:val="20"/>
      </w:rPr>
      <w:tab/>
      <w:t xml:space="preserve">Page </w:t>
    </w:r>
    <w:r w:rsidRPr="00912388">
      <w:rPr>
        <w:sz w:val="20"/>
        <w:szCs w:val="20"/>
      </w:rPr>
      <w:fldChar w:fldCharType="begin"/>
    </w:r>
    <w:r w:rsidRPr="00912388">
      <w:rPr>
        <w:sz w:val="20"/>
        <w:szCs w:val="20"/>
      </w:rPr>
      <w:instrText xml:space="preserve"> PAGE   \* MERGEFORMAT </w:instrText>
    </w:r>
    <w:r w:rsidRPr="00912388">
      <w:rPr>
        <w:sz w:val="20"/>
        <w:szCs w:val="20"/>
      </w:rPr>
      <w:fldChar w:fldCharType="separate"/>
    </w:r>
    <w:r w:rsidR="002F1E8F">
      <w:rPr>
        <w:noProof/>
        <w:sz w:val="20"/>
        <w:szCs w:val="20"/>
      </w:rPr>
      <w:t>6</w:t>
    </w:r>
    <w:r w:rsidRPr="00912388">
      <w:rPr>
        <w:noProof/>
        <w:sz w:val="20"/>
        <w:szCs w:val="20"/>
      </w:rPr>
      <w:fldChar w:fldCharType="end"/>
    </w:r>
    <w:r w:rsidRPr="00912388">
      <w:rPr>
        <w:noProof/>
        <w:sz w:val="20"/>
        <w:szCs w:val="20"/>
      </w:rPr>
      <w:t xml:space="preserve"> of </w:t>
    </w:r>
    <w:r w:rsidRPr="00912388">
      <w:rPr>
        <w:sz w:val="20"/>
        <w:szCs w:val="20"/>
      </w:rPr>
      <w:fldChar w:fldCharType="begin"/>
    </w:r>
    <w:r w:rsidRPr="00912388">
      <w:rPr>
        <w:sz w:val="20"/>
        <w:szCs w:val="20"/>
      </w:rPr>
      <w:instrText xml:space="preserve"> NUMPAGES   \* MERGEFORMAT </w:instrText>
    </w:r>
    <w:r w:rsidRPr="00912388">
      <w:rPr>
        <w:sz w:val="20"/>
        <w:szCs w:val="20"/>
      </w:rPr>
      <w:fldChar w:fldCharType="separate"/>
    </w:r>
    <w:r w:rsidR="002F1E8F">
      <w:rPr>
        <w:noProof/>
        <w:sz w:val="20"/>
        <w:szCs w:val="20"/>
      </w:rPr>
      <w:t>6</w:t>
    </w:r>
    <w:r w:rsidRPr="00912388">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FAD" w:rsidRDefault="00820FAD" w:rsidP="00B02A45">
      <w:r>
        <w:separator/>
      </w:r>
    </w:p>
  </w:footnote>
  <w:footnote w:type="continuationSeparator" w:id="0">
    <w:p w:rsidR="00820FAD" w:rsidRDefault="00820FAD" w:rsidP="00B02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A45" w:rsidRDefault="00BE16A5" w:rsidP="00EB128C">
    <w:pPr>
      <w:pStyle w:val="Header"/>
    </w:pPr>
    <w:r>
      <w:rPr>
        <w:noProof/>
      </w:rPr>
      <mc:AlternateContent>
        <mc:Choice Requires="wps">
          <w:drawing>
            <wp:anchor distT="0" distB="0" distL="114300" distR="114300" simplePos="0" relativeHeight="251659264" behindDoc="0" locked="0" layoutInCell="1" allowOverlap="1" wp14:anchorId="5D234621" wp14:editId="2D464272">
              <wp:simplePos x="0" y="0"/>
              <wp:positionH relativeFrom="column">
                <wp:posOffset>2914650</wp:posOffset>
              </wp:positionH>
              <wp:positionV relativeFrom="paragraph">
                <wp:posOffset>19050</wp:posOffset>
              </wp:positionV>
              <wp:extent cx="3640455"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40455" cy="342900"/>
                      </a:xfrm>
                      <a:prstGeom prst="rect">
                        <a:avLst/>
                      </a:prstGeom>
                      <a:noFill/>
                      <a:ln w="6350">
                        <a:noFill/>
                      </a:ln>
                    </wps:spPr>
                    <wps:txbx>
                      <w:txbxContent>
                        <w:p w:rsidR="00B02A45" w:rsidRDefault="009122F9" w:rsidP="00B02A45">
                          <w:pPr>
                            <w:jc w:val="right"/>
                            <w:rPr>
                              <w:rFonts w:ascii="Arial" w:hAnsi="Arial" w:cs="Arial"/>
                              <w:b/>
                              <w:color w:val="404040" w:themeColor="text1" w:themeTint="BF"/>
                              <w:sz w:val="36"/>
                            </w:rPr>
                          </w:pPr>
                          <w:r>
                            <w:rPr>
                              <w:rFonts w:ascii="Arial" w:hAnsi="Arial" w:cs="Arial"/>
                              <w:color w:val="404040" w:themeColor="text1" w:themeTint="BF"/>
                              <w:sz w:val="36"/>
                            </w:rPr>
                            <w:t>Information Systems</w:t>
                          </w:r>
                          <w:r w:rsidR="005332F6" w:rsidRPr="005332F6">
                            <w:rPr>
                              <w:rFonts w:ascii="Arial" w:hAnsi="Arial" w:cs="Arial"/>
                              <w:color w:val="404040" w:themeColor="text1" w:themeTint="BF"/>
                              <w:sz w:val="36"/>
                            </w:rPr>
                            <w:t xml:space="preserve"> </w:t>
                          </w:r>
                          <w:r w:rsidR="00BE16A5">
                            <w:rPr>
                              <w:rFonts w:ascii="Arial" w:hAnsi="Arial" w:cs="Arial"/>
                              <w:b/>
                              <w:color w:val="404040" w:themeColor="text1" w:themeTint="BF"/>
                              <w:sz w:val="36"/>
                            </w:rPr>
                            <w:t>Procedure</w:t>
                          </w:r>
                        </w:p>
                        <w:p w:rsidR="00ED58DF" w:rsidRPr="00F11F37" w:rsidRDefault="00ED58DF" w:rsidP="00B02A45">
                          <w:pPr>
                            <w:jc w:val="right"/>
                            <w:rPr>
                              <w:rFonts w:ascii="Arial" w:hAnsi="Arial" w:cs="Arial"/>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34621" id="_x0000_t202" coordsize="21600,21600" o:spt="202" path="m,l,21600r21600,l21600,xe">
              <v:stroke joinstyle="miter"/>
              <v:path gradientshapeok="t" o:connecttype="rect"/>
            </v:shapetype>
            <v:shape id="Text Box 21" o:spid="_x0000_s1026" type="#_x0000_t202" style="position:absolute;margin-left:229.5pt;margin-top:1.5pt;width:286.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" filled="f" stroked="f" strokeweight=".5pt">
              <v:textbox>
                <w:txbxContent>
                  <w:p w:rsidR="00B02A45" w:rsidRDefault="009122F9" w:rsidP="00B02A45">
                    <w:pPr>
                      <w:jc w:val="right"/>
                      <w:rPr>
                        <w:rFonts w:ascii="Arial" w:hAnsi="Arial" w:cs="Arial"/>
                        <w:b/>
                        <w:color w:val="404040" w:themeColor="text1" w:themeTint="BF"/>
                        <w:sz w:val="36"/>
                      </w:rPr>
                    </w:pPr>
                    <w:r>
                      <w:rPr>
                        <w:rFonts w:ascii="Arial" w:hAnsi="Arial" w:cs="Arial"/>
                        <w:color w:val="404040" w:themeColor="text1" w:themeTint="BF"/>
                        <w:sz w:val="36"/>
                      </w:rPr>
                      <w:t>Information Systems</w:t>
                    </w:r>
                    <w:r w:rsidR="005332F6" w:rsidRPr="005332F6">
                      <w:rPr>
                        <w:rFonts w:ascii="Arial" w:hAnsi="Arial" w:cs="Arial"/>
                        <w:color w:val="404040" w:themeColor="text1" w:themeTint="BF"/>
                        <w:sz w:val="36"/>
                      </w:rPr>
                      <w:t xml:space="preserve"> </w:t>
                    </w:r>
                    <w:r w:rsidR="00BE16A5">
                      <w:rPr>
                        <w:rFonts w:ascii="Arial" w:hAnsi="Arial" w:cs="Arial"/>
                        <w:b/>
                        <w:color w:val="404040" w:themeColor="text1" w:themeTint="BF"/>
                        <w:sz w:val="36"/>
                      </w:rPr>
                      <w:t>Procedure</w:t>
                    </w:r>
                  </w:p>
                  <w:p w:rsidR="00ED58DF" w:rsidRPr="00F11F37" w:rsidRDefault="00ED58DF" w:rsidP="00B02A45">
                    <w:pPr>
                      <w:jc w:val="right"/>
                      <w:rPr>
                        <w:rFonts w:ascii="Arial" w:hAnsi="Arial" w:cs="Arial"/>
                        <w:b/>
                        <w:color w:val="404040" w:themeColor="text1" w:themeTint="BF"/>
                        <w:sz w:val="36"/>
                      </w:rPr>
                    </w:pPr>
                  </w:p>
                </w:txbxContent>
              </v:textbox>
            </v:shape>
          </w:pict>
        </mc:Fallback>
      </mc:AlternateContent>
    </w:r>
    <w:r w:rsidR="00380F77">
      <w:rPr>
        <w:noProof/>
      </w:rPr>
      <w:drawing>
        <wp:anchor distT="0" distB="0" distL="114300" distR="114300" simplePos="0" relativeHeight="251658240" behindDoc="1" locked="0" layoutInCell="1" allowOverlap="1" wp14:anchorId="1796AE6D" wp14:editId="0AAE55EE">
          <wp:simplePos x="0" y="0"/>
          <wp:positionH relativeFrom="column">
            <wp:posOffset>-758190</wp:posOffset>
          </wp:positionH>
          <wp:positionV relativeFrom="paragraph">
            <wp:posOffset>-310515</wp:posOffset>
          </wp:positionV>
          <wp:extent cx="7473315" cy="17786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73315" cy="1778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2706E"/>
    <w:multiLevelType w:val="multilevel"/>
    <w:tmpl w:val="10EA2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55D82"/>
    <w:multiLevelType w:val="multilevel"/>
    <w:tmpl w:val="9B9C242A"/>
    <w:lvl w:ilvl="0">
      <w:start w:val="1"/>
      <w:numFmt w:val="decimal"/>
      <w:suff w:val="space"/>
      <w:lvlText w:val="%1.0"/>
      <w:lvlJc w:val="left"/>
      <w:pPr>
        <w:ind w:left="360" w:hanging="360"/>
      </w:pPr>
      <w:rPr>
        <w:rFonts w:hint="default"/>
      </w:rPr>
    </w:lvl>
    <w:lvl w:ilvl="1">
      <w:start w:val="1"/>
      <w:numFmt w:val="decimal"/>
      <w:suff w:val="space"/>
      <w:lvlText w:val="%1.%2"/>
      <w:lvlJc w:val="left"/>
      <w:pPr>
        <w:ind w:left="3330" w:hanging="3330"/>
      </w:pPr>
      <w:rPr>
        <w:rFonts w:hint="default"/>
      </w:rPr>
    </w:lvl>
    <w:lvl w:ilvl="2">
      <w:start w:val="1"/>
      <w:numFmt w:val="upperLetter"/>
      <w:lvlText w:val="%3."/>
      <w:lvlJc w:val="left"/>
      <w:pPr>
        <w:ind w:left="1008" w:hanging="288"/>
      </w:pPr>
      <w:rPr>
        <w:rFonts w:hint="default"/>
        <w:b w:val="0"/>
      </w:rPr>
    </w:lvl>
    <w:lvl w:ilvl="3">
      <w:start w:val="1"/>
      <w:numFmt w:val="decimal"/>
      <w:suff w:val="space"/>
      <w:lvlText w:val="%4."/>
      <w:lvlJc w:val="left"/>
      <w:pPr>
        <w:ind w:left="1080" w:hanging="216"/>
      </w:pPr>
      <w:rPr>
        <w:rFonts w:ascii="Calibri" w:hAnsi="Calibri" w:hint="default"/>
        <w:b w:val="0"/>
        <w:i w:val="0"/>
        <w:sz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2A032B"/>
    <w:multiLevelType w:val="multilevel"/>
    <w:tmpl w:val="9B9C242A"/>
    <w:lvl w:ilvl="0">
      <w:start w:val="1"/>
      <w:numFmt w:val="decimal"/>
      <w:suff w:val="space"/>
      <w:lvlText w:val="%1.0"/>
      <w:lvlJc w:val="left"/>
      <w:pPr>
        <w:ind w:left="360" w:hanging="360"/>
      </w:pPr>
      <w:rPr>
        <w:rFonts w:hint="default"/>
      </w:rPr>
    </w:lvl>
    <w:lvl w:ilvl="1">
      <w:start w:val="1"/>
      <w:numFmt w:val="decimal"/>
      <w:suff w:val="space"/>
      <w:lvlText w:val="%1.%2"/>
      <w:lvlJc w:val="left"/>
      <w:pPr>
        <w:ind w:left="3330" w:hanging="3330"/>
      </w:pPr>
      <w:rPr>
        <w:rFonts w:hint="default"/>
      </w:rPr>
    </w:lvl>
    <w:lvl w:ilvl="2">
      <w:start w:val="1"/>
      <w:numFmt w:val="upperLetter"/>
      <w:lvlText w:val="%3."/>
      <w:lvlJc w:val="left"/>
      <w:pPr>
        <w:ind w:left="1008" w:hanging="288"/>
      </w:pPr>
      <w:rPr>
        <w:rFonts w:hint="default"/>
        <w:b w:val="0"/>
      </w:rPr>
    </w:lvl>
    <w:lvl w:ilvl="3">
      <w:start w:val="1"/>
      <w:numFmt w:val="decimal"/>
      <w:suff w:val="space"/>
      <w:lvlText w:val="%4."/>
      <w:lvlJc w:val="left"/>
      <w:pPr>
        <w:ind w:left="1080" w:hanging="216"/>
      </w:pPr>
      <w:rPr>
        <w:rFonts w:ascii="Calibri" w:hAnsi="Calibri" w:hint="default"/>
        <w:b w:val="0"/>
        <w:i w:val="0"/>
        <w:sz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5F50969"/>
    <w:multiLevelType w:val="multilevel"/>
    <w:tmpl w:val="4F18C148"/>
    <w:lvl w:ilvl="0">
      <w:start w:val="1"/>
      <w:numFmt w:val="decimal"/>
      <w:suff w:val="space"/>
      <w:lvlText w:val="%1.0"/>
      <w:lvlJc w:val="left"/>
      <w:pPr>
        <w:ind w:left="360" w:hanging="360"/>
      </w:pPr>
      <w:rPr>
        <w:rFonts w:hint="default"/>
      </w:rPr>
    </w:lvl>
    <w:lvl w:ilvl="1">
      <w:start w:val="1"/>
      <w:numFmt w:val="decimal"/>
      <w:suff w:val="space"/>
      <w:lvlText w:val="%1.%2"/>
      <w:lvlJc w:val="left"/>
      <w:pPr>
        <w:ind w:left="3330" w:hanging="3330"/>
      </w:pPr>
      <w:rPr>
        <w:rFonts w:hint="default"/>
      </w:rPr>
    </w:lvl>
    <w:lvl w:ilvl="2">
      <w:start w:val="1"/>
      <w:numFmt w:val="upperLetter"/>
      <w:lvlText w:val="%3."/>
      <w:lvlJc w:val="left"/>
      <w:pPr>
        <w:ind w:left="1008" w:hanging="288"/>
      </w:pPr>
      <w:rPr>
        <w:rFonts w:hint="default"/>
        <w:b w:val="0"/>
      </w:rPr>
    </w:lvl>
    <w:lvl w:ilvl="3">
      <w:start w:val="1"/>
      <w:numFmt w:val="decimal"/>
      <w:suff w:val="space"/>
      <w:lvlText w:val="%4."/>
      <w:lvlJc w:val="left"/>
      <w:pPr>
        <w:ind w:left="1080" w:hanging="216"/>
      </w:pPr>
      <w:rPr>
        <w:rFonts w:ascii="Calibri" w:hAnsi="Calibri" w:hint="default"/>
        <w:b w:val="0"/>
        <w:i w:val="0"/>
        <w:color w:val="auto"/>
        <w:sz w:val="22"/>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969788B"/>
    <w:multiLevelType w:val="multilevel"/>
    <w:tmpl w:val="9F3C6342"/>
    <w:lvl w:ilvl="0">
      <w:start w:val="1"/>
      <w:numFmt w:val="decimal"/>
      <w:pStyle w:val="SectionTitleLarge"/>
      <w:lvlText w:val="%1"/>
      <w:lvlJc w:val="left"/>
      <w:pPr>
        <w:ind w:left="360" w:hanging="360"/>
      </w:pPr>
      <w:rPr>
        <w:rFonts w:hint="default"/>
      </w:rPr>
    </w:lvl>
    <w:lvl w:ilvl="1">
      <w:start w:val="1"/>
      <w:numFmt w:val="decimal"/>
      <w:pStyle w:val="SubSection"/>
      <w:suff w:val="space"/>
      <w:lvlText w:val="%1.%2"/>
      <w:lvlJc w:val="left"/>
      <w:pPr>
        <w:ind w:left="0" w:firstLine="0"/>
      </w:pPr>
      <w:rPr>
        <w:rFonts w:hint="default"/>
        <w:color w:val="auto"/>
      </w:rPr>
    </w:lvl>
    <w:lvl w:ilvl="2">
      <w:start w:val="1"/>
      <w:numFmt w:val="decimal"/>
      <w:lvlRestart w:val="1"/>
      <w:suff w:val="space"/>
      <w:lvlText w:val="%1.%2.%3"/>
      <w:lvlJc w:val="left"/>
      <w:pPr>
        <w:ind w:left="432" w:firstLine="0"/>
      </w:pPr>
      <w:rPr>
        <w:rFonts w:hint="default"/>
        <w:b w:val="0"/>
        <w:color w:val="auto"/>
      </w:rPr>
    </w:lvl>
    <w:lvl w:ilvl="3">
      <w:start w:val="1"/>
      <w:numFmt w:val="upperLetter"/>
      <w:suff w:val="space"/>
      <w:lvlText w:val="%4."/>
      <w:lvlJc w:val="left"/>
      <w:pPr>
        <w:ind w:left="1008" w:firstLine="0"/>
      </w:pPr>
      <w:rPr>
        <w:rFonts w:hint="default"/>
        <w:color w:val="auto"/>
      </w:rPr>
    </w:lvl>
    <w:lvl w:ilvl="4">
      <w:start w:val="1"/>
      <w:numFmt w:val="decimal"/>
      <w:lvlText w:val="%4.%5"/>
      <w:lvlJc w:val="left"/>
      <w:pPr>
        <w:tabs>
          <w:tab w:val="num" w:pos="1296"/>
        </w:tabs>
        <w:ind w:left="1296" w:firstLine="0"/>
      </w:pPr>
      <w:rPr>
        <w:rFonts w:hint="default"/>
        <w:color w:val="auto"/>
      </w:rPr>
    </w:lvl>
    <w:lvl w:ilvl="5">
      <w:start w:val="1"/>
      <w:numFmt w:val="lowerLetter"/>
      <w:lvlText w:val="%4.%5.%6"/>
      <w:lvlJc w:val="left"/>
      <w:pPr>
        <w:ind w:left="1728" w:firstLine="0"/>
      </w:pPr>
      <w:rPr>
        <w:rFonts w:hint="default"/>
      </w:rPr>
    </w:lvl>
    <w:lvl w:ilvl="6">
      <w:start w:val="1"/>
      <w:numFmt w:val="decimal"/>
      <w:lvlText w:val="%6.%7"/>
      <w:lvlJc w:val="left"/>
      <w:pPr>
        <w:ind w:left="2160" w:firstLine="0"/>
      </w:pPr>
      <w:rPr>
        <w:rFonts w:hint="default"/>
      </w:rPr>
    </w:lvl>
    <w:lvl w:ilvl="7">
      <w:start w:val="1"/>
      <w:numFmt w:val="decimal"/>
      <w:lvlText w:val="%6.%7.%8"/>
      <w:lvlJc w:val="left"/>
      <w:pPr>
        <w:ind w:left="2592" w:firstLine="0"/>
      </w:pPr>
      <w:rPr>
        <w:rFonts w:hint="default"/>
      </w:rPr>
    </w:lvl>
    <w:lvl w:ilvl="8">
      <w:start w:val="1"/>
      <w:numFmt w:val="decimal"/>
      <w:lvlText w:val="%6.%7.%8.%9"/>
      <w:lvlJc w:val="left"/>
      <w:pPr>
        <w:ind w:left="3024" w:firstLine="0"/>
      </w:pPr>
      <w:rPr>
        <w:rFonts w:hint="default"/>
      </w:rPr>
    </w:lvl>
  </w:abstractNum>
  <w:abstractNum w:abstractNumId="5" w15:restartNumberingAfterBreak="0">
    <w:nsid w:val="5AA36B58"/>
    <w:multiLevelType w:val="hybridMultilevel"/>
    <w:tmpl w:val="AB404BEC"/>
    <w:lvl w:ilvl="0" w:tplc="6750C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66B2B"/>
    <w:multiLevelType w:val="hybridMultilevel"/>
    <w:tmpl w:val="5C70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43A33"/>
    <w:multiLevelType w:val="hybridMultilevel"/>
    <w:tmpl w:val="F06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E22AD"/>
    <w:multiLevelType w:val="multilevel"/>
    <w:tmpl w:val="DB5C0764"/>
    <w:lvl w:ilvl="0">
      <w:start w:val="1"/>
      <w:numFmt w:val="decimal"/>
      <w:suff w:val="space"/>
      <w:lvlText w:val="%1.0"/>
      <w:lvlJc w:val="left"/>
      <w:pPr>
        <w:ind w:left="360" w:hanging="360"/>
      </w:pPr>
      <w:rPr>
        <w:rFonts w:hint="default"/>
      </w:rPr>
    </w:lvl>
    <w:lvl w:ilvl="1">
      <w:start w:val="1"/>
      <w:numFmt w:val="decimal"/>
      <w:suff w:val="space"/>
      <w:lvlText w:val="%1.%2"/>
      <w:lvlJc w:val="left"/>
      <w:pPr>
        <w:ind w:left="3330" w:hanging="3330"/>
      </w:pPr>
      <w:rPr>
        <w:rFonts w:hint="default"/>
      </w:rPr>
    </w:lvl>
    <w:lvl w:ilvl="2">
      <w:start w:val="1"/>
      <w:numFmt w:val="decimal"/>
      <w:lvlText w:val="%3."/>
      <w:lvlJc w:val="left"/>
      <w:pPr>
        <w:ind w:left="1008" w:hanging="288"/>
      </w:pPr>
      <w:rPr>
        <w:rFonts w:hint="default"/>
        <w:b w:val="0"/>
      </w:rPr>
    </w:lvl>
    <w:lvl w:ilvl="3">
      <w:start w:val="1"/>
      <w:numFmt w:val="decimal"/>
      <w:suff w:val="space"/>
      <w:lvlText w:val="%4."/>
      <w:lvlJc w:val="left"/>
      <w:pPr>
        <w:ind w:left="1080" w:hanging="216"/>
      </w:pPr>
      <w:rPr>
        <w:rFonts w:ascii="Calibri" w:hAnsi="Calibri" w:hint="default"/>
        <w:b w:val="0"/>
        <w:i w:val="0"/>
        <w:sz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D2B1BB4"/>
    <w:multiLevelType w:val="hybridMultilevel"/>
    <w:tmpl w:val="11FEA4CE"/>
    <w:lvl w:ilvl="0" w:tplc="6750C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7"/>
  </w:num>
  <w:num w:numId="5">
    <w:abstractNumId w:val="4"/>
  </w:num>
  <w:num w:numId="6">
    <w:abstractNumId w:val="4"/>
  </w:num>
  <w:num w:numId="7">
    <w:abstractNumId w:val="4"/>
  </w:num>
  <w:num w:numId="8">
    <w:abstractNumId w:val="3"/>
  </w:num>
  <w:num w:numId="9">
    <w:abstractNumId w:val="8"/>
  </w:num>
  <w:num w:numId="10">
    <w:abstractNumId w:val="2"/>
  </w:num>
  <w:num w:numId="11">
    <w:abstractNumId w:val="1"/>
  </w:num>
  <w:num w:numId="12">
    <w:abstractNumId w:val="4"/>
  </w:num>
  <w:num w:numId="13">
    <w:abstractNumId w:val="4"/>
  </w:num>
  <w:num w:numId="14">
    <w:abstractNumId w:val="5"/>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45"/>
    <w:rsid w:val="0001797A"/>
    <w:rsid w:val="000331EB"/>
    <w:rsid w:val="00047774"/>
    <w:rsid w:val="00062A97"/>
    <w:rsid w:val="0006678A"/>
    <w:rsid w:val="00076165"/>
    <w:rsid w:val="00097EA3"/>
    <w:rsid w:val="000B1FCB"/>
    <w:rsid w:val="000B3DB5"/>
    <w:rsid w:val="000B4E3E"/>
    <w:rsid w:val="000B7E91"/>
    <w:rsid w:val="000C75D3"/>
    <w:rsid w:val="000D0965"/>
    <w:rsid w:val="000D2069"/>
    <w:rsid w:val="00130842"/>
    <w:rsid w:val="00155068"/>
    <w:rsid w:val="001647AA"/>
    <w:rsid w:val="00167541"/>
    <w:rsid w:val="00182C8B"/>
    <w:rsid w:val="0019214A"/>
    <w:rsid w:val="001A2BB9"/>
    <w:rsid w:val="001B3DBF"/>
    <w:rsid w:val="001E427C"/>
    <w:rsid w:val="00257E5B"/>
    <w:rsid w:val="002821EC"/>
    <w:rsid w:val="002D09FB"/>
    <w:rsid w:val="002D1F85"/>
    <w:rsid w:val="002E3D44"/>
    <w:rsid w:val="002F1E8F"/>
    <w:rsid w:val="002F7654"/>
    <w:rsid w:val="00363353"/>
    <w:rsid w:val="00380F77"/>
    <w:rsid w:val="003C1098"/>
    <w:rsid w:val="003C6C3A"/>
    <w:rsid w:val="003D171E"/>
    <w:rsid w:val="003D3E41"/>
    <w:rsid w:val="003D4E6C"/>
    <w:rsid w:val="003E599D"/>
    <w:rsid w:val="003F0CD1"/>
    <w:rsid w:val="00404DF3"/>
    <w:rsid w:val="0040685B"/>
    <w:rsid w:val="00442776"/>
    <w:rsid w:val="004457BC"/>
    <w:rsid w:val="00461ECB"/>
    <w:rsid w:val="00491997"/>
    <w:rsid w:val="004A4054"/>
    <w:rsid w:val="004B5983"/>
    <w:rsid w:val="004E1B80"/>
    <w:rsid w:val="004E5DD1"/>
    <w:rsid w:val="004E66F7"/>
    <w:rsid w:val="00503488"/>
    <w:rsid w:val="005068BA"/>
    <w:rsid w:val="00524B40"/>
    <w:rsid w:val="005332F6"/>
    <w:rsid w:val="005433E9"/>
    <w:rsid w:val="005721E0"/>
    <w:rsid w:val="00582DE2"/>
    <w:rsid w:val="005945B2"/>
    <w:rsid w:val="005B1E06"/>
    <w:rsid w:val="006171C1"/>
    <w:rsid w:val="00631D2B"/>
    <w:rsid w:val="006443BE"/>
    <w:rsid w:val="00656EC3"/>
    <w:rsid w:val="00666CE4"/>
    <w:rsid w:val="00683B59"/>
    <w:rsid w:val="0068508B"/>
    <w:rsid w:val="006967FC"/>
    <w:rsid w:val="006B13D1"/>
    <w:rsid w:val="006B3314"/>
    <w:rsid w:val="006C7EC7"/>
    <w:rsid w:val="006D2489"/>
    <w:rsid w:val="00702C8E"/>
    <w:rsid w:val="00723F5F"/>
    <w:rsid w:val="0073010B"/>
    <w:rsid w:val="00742681"/>
    <w:rsid w:val="00762F36"/>
    <w:rsid w:val="007D11D6"/>
    <w:rsid w:val="007F4539"/>
    <w:rsid w:val="008017AA"/>
    <w:rsid w:val="008073F1"/>
    <w:rsid w:val="008131B7"/>
    <w:rsid w:val="00820FAD"/>
    <w:rsid w:val="00825EE7"/>
    <w:rsid w:val="008262CC"/>
    <w:rsid w:val="00830C28"/>
    <w:rsid w:val="008473E8"/>
    <w:rsid w:val="0085282D"/>
    <w:rsid w:val="0085753A"/>
    <w:rsid w:val="008767FC"/>
    <w:rsid w:val="008A29B2"/>
    <w:rsid w:val="008B158B"/>
    <w:rsid w:val="008C505B"/>
    <w:rsid w:val="009122F9"/>
    <w:rsid w:val="00912388"/>
    <w:rsid w:val="0093045B"/>
    <w:rsid w:val="00947BA3"/>
    <w:rsid w:val="00956049"/>
    <w:rsid w:val="00967D5D"/>
    <w:rsid w:val="00982D79"/>
    <w:rsid w:val="009B2FBD"/>
    <w:rsid w:val="009B557A"/>
    <w:rsid w:val="009D358B"/>
    <w:rsid w:val="009D5BF5"/>
    <w:rsid w:val="009F08E7"/>
    <w:rsid w:val="00A15253"/>
    <w:rsid w:val="00A95B77"/>
    <w:rsid w:val="00AA6F3B"/>
    <w:rsid w:val="00AB1D14"/>
    <w:rsid w:val="00AE31CB"/>
    <w:rsid w:val="00B02A45"/>
    <w:rsid w:val="00B03FA2"/>
    <w:rsid w:val="00B0669A"/>
    <w:rsid w:val="00B14ED2"/>
    <w:rsid w:val="00B41719"/>
    <w:rsid w:val="00B47411"/>
    <w:rsid w:val="00B7488C"/>
    <w:rsid w:val="00B80EDC"/>
    <w:rsid w:val="00B81CF8"/>
    <w:rsid w:val="00B83AB8"/>
    <w:rsid w:val="00BA5C25"/>
    <w:rsid w:val="00BC66D3"/>
    <w:rsid w:val="00BE16A5"/>
    <w:rsid w:val="00BF0B78"/>
    <w:rsid w:val="00BF20CA"/>
    <w:rsid w:val="00C104D5"/>
    <w:rsid w:val="00C358D2"/>
    <w:rsid w:val="00C46C5B"/>
    <w:rsid w:val="00C67B6F"/>
    <w:rsid w:val="00C74932"/>
    <w:rsid w:val="00CA206B"/>
    <w:rsid w:val="00CB06E2"/>
    <w:rsid w:val="00CB10D0"/>
    <w:rsid w:val="00CC58AF"/>
    <w:rsid w:val="00CE0EE5"/>
    <w:rsid w:val="00D254CE"/>
    <w:rsid w:val="00D3032A"/>
    <w:rsid w:val="00D40561"/>
    <w:rsid w:val="00D50932"/>
    <w:rsid w:val="00D61ABC"/>
    <w:rsid w:val="00E336DB"/>
    <w:rsid w:val="00E433E8"/>
    <w:rsid w:val="00E53AD2"/>
    <w:rsid w:val="00EA389D"/>
    <w:rsid w:val="00EB04F7"/>
    <w:rsid w:val="00EB128C"/>
    <w:rsid w:val="00ED58DF"/>
    <w:rsid w:val="00EF2E5A"/>
    <w:rsid w:val="00F11F37"/>
    <w:rsid w:val="00F53EB6"/>
    <w:rsid w:val="00F54D00"/>
    <w:rsid w:val="00F604E4"/>
    <w:rsid w:val="00F75F65"/>
    <w:rsid w:val="00F816B7"/>
    <w:rsid w:val="00FA6E79"/>
    <w:rsid w:val="00FB2E11"/>
    <w:rsid w:val="00FB3A7D"/>
    <w:rsid w:val="00FB4B2B"/>
    <w:rsid w:val="00FB694B"/>
    <w:rsid w:val="00FC4167"/>
    <w:rsid w:val="00FE6018"/>
    <w:rsid w:val="00FF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4FE3C7AF-1C8E-4FB2-B443-1C3DC2A2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D44"/>
    <w:pPr>
      <w:spacing w:after="120" w:line="240" w:lineRule="auto"/>
    </w:pPr>
    <w:rPr>
      <w:rFonts w:ascii="Calibri" w:hAnsi="Calibri"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2A45"/>
    <w:pPr>
      <w:tabs>
        <w:tab w:val="center" w:pos="4680"/>
        <w:tab w:val="right" w:pos="9360"/>
      </w:tabs>
    </w:pPr>
  </w:style>
  <w:style w:type="character" w:customStyle="1" w:styleId="HeaderChar">
    <w:name w:val="Header Char"/>
    <w:basedOn w:val="DefaultParagraphFont"/>
    <w:link w:val="Header"/>
    <w:uiPriority w:val="99"/>
    <w:rsid w:val="00B02A45"/>
  </w:style>
  <w:style w:type="paragraph" w:styleId="Footer">
    <w:name w:val="footer"/>
    <w:basedOn w:val="Normal"/>
    <w:link w:val="FooterChar"/>
    <w:uiPriority w:val="99"/>
    <w:unhideWhenUsed/>
    <w:rsid w:val="00B02A45"/>
    <w:pPr>
      <w:tabs>
        <w:tab w:val="center" w:pos="4680"/>
        <w:tab w:val="right" w:pos="9360"/>
      </w:tabs>
    </w:pPr>
  </w:style>
  <w:style w:type="character" w:customStyle="1" w:styleId="FooterChar">
    <w:name w:val="Footer Char"/>
    <w:basedOn w:val="DefaultParagraphFont"/>
    <w:link w:val="Footer"/>
    <w:uiPriority w:val="99"/>
    <w:rsid w:val="00B02A45"/>
  </w:style>
  <w:style w:type="paragraph" w:styleId="NoSpacing">
    <w:name w:val="No Spacing"/>
    <w:link w:val="NoSpacingChar"/>
    <w:uiPriority w:val="1"/>
    <w:qFormat/>
    <w:rsid w:val="002D1F85"/>
    <w:pPr>
      <w:spacing w:after="0" w:line="240" w:lineRule="auto"/>
    </w:pPr>
    <w:rPr>
      <w:sz w:val="24"/>
    </w:rPr>
  </w:style>
  <w:style w:type="character" w:customStyle="1" w:styleId="NoSpacingChar">
    <w:name w:val="No Spacing Char"/>
    <w:basedOn w:val="DefaultParagraphFont"/>
    <w:link w:val="NoSpacing"/>
    <w:uiPriority w:val="1"/>
    <w:rsid w:val="002D1F85"/>
    <w:rPr>
      <w:sz w:val="24"/>
    </w:rPr>
  </w:style>
  <w:style w:type="paragraph" w:customStyle="1" w:styleId="SectionTitleLarge">
    <w:name w:val="Section Title Large"/>
    <w:basedOn w:val="NoSpacing"/>
    <w:link w:val="SectionTitleLargeChar1"/>
    <w:qFormat/>
    <w:rsid w:val="00BF0B78"/>
    <w:pPr>
      <w:numPr>
        <w:numId w:val="1"/>
      </w:numPr>
      <w:tabs>
        <w:tab w:val="left" w:pos="720"/>
      </w:tabs>
      <w:spacing w:after="120"/>
    </w:pPr>
    <w:rPr>
      <w:b/>
      <w:noProof/>
      <w:sz w:val="30"/>
    </w:rPr>
  </w:style>
  <w:style w:type="paragraph" w:customStyle="1" w:styleId="SubSection">
    <w:name w:val="Sub Section"/>
    <w:basedOn w:val="SectionTitleLarge"/>
    <w:link w:val="SubSectionChar"/>
    <w:qFormat/>
    <w:rsid w:val="00C74932"/>
    <w:pPr>
      <w:numPr>
        <w:ilvl w:val="1"/>
      </w:numPr>
      <w:outlineLvl w:val="1"/>
    </w:pPr>
    <w:rPr>
      <w:b w:val="0"/>
      <w:color w:val="0070C0"/>
      <w:sz w:val="26"/>
    </w:rPr>
  </w:style>
  <w:style w:type="character" w:customStyle="1" w:styleId="SectionTitleLargeChar1">
    <w:name w:val="Section Title Large Char1"/>
    <w:basedOn w:val="NoSpacingChar"/>
    <w:link w:val="SectionTitleLarge"/>
    <w:rsid w:val="00BF0B78"/>
    <w:rPr>
      <w:b/>
      <w:noProof/>
      <w:sz w:val="30"/>
    </w:rPr>
  </w:style>
  <w:style w:type="character" w:customStyle="1" w:styleId="SubSectionChar">
    <w:name w:val="Sub Section Char"/>
    <w:basedOn w:val="SectionTitleLargeChar1"/>
    <w:link w:val="SubSection"/>
    <w:rsid w:val="00C74932"/>
    <w:rPr>
      <w:b w:val="0"/>
      <w:noProof/>
      <w:color w:val="0070C0"/>
      <w:sz w:val="26"/>
    </w:rPr>
  </w:style>
  <w:style w:type="paragraph" w:styleId="ListParagraph">
    <w:name w:val="List Paragraph"/>
    <w:basedOn w:val="Normal"/>
    <w:uiPriority w:val="34"/>
    <w:qFormat/>
    <w:rsid w:val="00182C8B"/>
    <w:pPr>
      <w:spacing w:after="200" w:line="276" w:lineRule="auto"/>
      <w:ind w:left="720"/>
      <w:contextualSpacing/>
    </w:pPr>
  </w:style>
  <w:style w:type="table" w:styleId="TableGrid">
    <w:name w:val="Table Grid"/>
    <w:basedOn w:val="TableNormal"/>
    <w:uiPriority w:val="59"/>
    <w:rsid w:val="00C6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EC3"/>
    <w:rPr>
      <w:color w:val="0000FF"/>
      <w:u w:val="single"/>
    </w:rPr>
  </w:style>
  <w:style w:type="character" w:styleId="FollowedHyperlink">
    <w:name w:val="FollowedHyperlink"/>
    <w:basedOn w:val="DefaultParagraphFont"/>
    <w:uiPriority w:val="99"/>
    <w:semiHidden/>
    <w:unhideWhenUsed/>
    <w:rsid w:val="00BA5C25"/>
    <w:rPr>
      <w:color w:val="954F72" w:themeColor="followedHyperlink"/>
      <w:u w:val="single"/>
    </w:rPr>
  </w:style>
  <w:style w:type="paragraph" w:styleId="BalloonText">
    <w:name w:val="Balloon Text"/>
    <w:basedOn w:val="Normal"/>
    <w:link w:val="BalloonTextChar"/>
    <w:uiPriority w:val="99"/>
    <w:semiHidden/>
    <w:unhideWhenUsed/>
    <w:rsid w:val="0074268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6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554023">
      <w:bodyDiv w:val="1"/>
      <w:marLeft w:val="0"/>
      <w:marRight w:val="0"/>
      <w:marTop w:val="0"/>
      <w:marBottom w:val="0"/>
      <w:divBdr>
        <w:top w:val="none" w:sz="0" w:space="0" w:color="auto"/>
        <w:left w:val="none" w:sz="0" w:space="0" w:color="auto"/>
        <w:bottom w:val="none" w:sz="0" w:space="0" w:color="auto"/>
        <w:right w:val="none" w:sz="0" w:space="0" w:color="auto"/>
      </w:divBdr>
    </w:div>
    <w:div w:id="17922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dred.policymedical.net/policymed/anonymous/docViewer?stoken=09e41285-8848-43c1-bfc3-9d58623354f3&amp;dtoken=1384c561-0d16-4f80-9112-94f78edb6c5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588A-4EE3-42D6-86A8-6BC91388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Lakes, Joshua</dc:creator>
  <cp:keywords/>
  <dc:description/>
  <cp:lastModifiedBy>Warren, Patrick</cp:lastModifiedBy>
  <cp:revision>10</cp:revision>
  <cp:lastPrinted>2017-05-31T14:42:00Z</cp:lastPrinted>
  <dcterms:created xsi:type="dcterms:W3CDTF">2019-08-23T12:14:00Z</dcterms:created>
  <dcterms:modified xsi:type="dcterms:W3CDTF">2022-02-03T14:25:00Z</dcterms:modified>
</cp:coreProperties>
</file>