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AI Act Compliance</w:t>
      </w:r>
    </w:p>
    <w:p>
      <w:pPr>
        <w:spacing w:before="0" w:after="4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Product Offering Engine — Cerințe obligatorii pentru echipa de dezvoltare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Versiune 1.0  |  Martie 2026  |  Complement la Developer Briefing v1.0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Clasificarea sistemului — de ce contează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Motorul de recomandare de produse bancare este clasificat ca sistem AI de risc ridicat (High-Risk) conform Anexei III din EU AI Act (Regulamentul EU 2024/1689). Această clasificare nu e opțională și nu depinde de tehnologia folosită — depinde de ce face sistemul.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Criteriu Annex III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Aplicabil?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Evaluarea bonității sau accesului la produse financiare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Sistemul decide ce produse financiare primește un client — investiții, credite, asigurări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Profilare individuală automată cu impact semnificativ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PR001–PR020 construiesc un profil care determină ofertele disponibile clientului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Decizie care afectează accesul la servicii esențiale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client poate fi exclus de la anumite produse pe baza scorului automat (ex: fragile → no credit)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scoring (excepție fraud detection)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Parțial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Suitability scoring nu e credit scoring tehnic, dar produce același efect de acces/excludere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0000" w:sz="1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Clasificarea HIGH-RISK este activă de la prima zi de producție — nu există perioadă de grație pentru sisteme noi lansate după 2 august 2026. Dacă lansați înainte de această dată, trebuie să fiți complianți la momentul lansării.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Deadline-uri legale — ce trebuie gata și când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Dată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Obligație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februarie 2025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Practici AI interzise trebuie eliminate complet. AI Literacy obligatorie pentru echipă.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 ACUM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august 2025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Obligații pentru modele GPAI (dacă folosiți LLM extern — GPT, Claude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 ACUM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august 2026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Conformity assessment, CE marking, înregistrare EU database pentru sisteme high-risk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luni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august 2027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Sisteme high-risk embedded în produse reglementate (nu se aplică direct)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urmărit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0000" w:sz="1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Există o propunere Digital Omnibus (nov. 2025) care ar putea extinde deadline-ul high-risk până în decembrie 2027. NU vă bazați pe această extensie — planificați pentru august 2026.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Obligații tehnice concrete — ce intră în cod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Articolele 9–15 din AI Act definesc cerințele tehnice pentru sistemele high-risk. Mai jos sunt traduse în cerințe de implementare pentru motorul de recomandare.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Risk Management System (Art. 9)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Trebuie implementat un sistem documentat de management al riscului, activ pe tot ciclul de viață al modelului — de la design până la decommission.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Identificare și documentare a riscurilor la momentul designului: ce se întâmplă dacă modelul recomandă un produs nepotrivit? Dacă bias-ul afectează un segment?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Măsuri de mitigare pentru fiecare risc identificat — nu doar listate, ci implementate și testabile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Testare periodică a scenariilor de risc, inclusiv edge cases (client fragile, client minor, date lipsă)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Revizuire cel puțin anuală sau la orice schimbare semnificativă a modelului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4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Practic: creați un Risk Register document care însoțește modelul. Nu e un document de audit — e un artefact viu, actualizat la fiecare release.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 Governance (Art. 10)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Datele de antrenament, validare și testare trebuie să respecte cerințe stricte de calitate și reprezentativitate.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Datele de antrenament trebuie să fie relevante, suficient de reprezentative și, pe cât posibil, fără erori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Documentați sursa fiecărui dataset, data colectării, transformările aplicate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Testați explicit pentru bias: dacă modelul performează diferit pentru clienți tineri vs. vârstnici, sau pentru venituri mici vs. mari — documentați și adresați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Datele de producție folosite pentru inferență trebuie să fie pseudonimizate (UUID, nu date directe)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INTERZIS în date de antrenament: </w:t>
      </w:r>
      <w:r>
        <w:rPr>
          <w:rFonts w:ascii="Arial" w:cs="Arial" w:eastAsia="Arial" w:hAnsi="Arial"/>
          <w:sz w:val="22"/>
          <w:szCs w:val="22"/>
        </w:rPr>
        <w:t xml:space="preserve">inferențe despre rasă, religie, orientare — chiar dacă sunt derivate indirect din categorii de cheltuieli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Technical Documentation (Art. 11)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Înainte de lansare, trebuie pregătit un dosar tehnic complet care va fi pus la dispoziția autorităților la cerere. Acesta include: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documentație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conține concret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Descrierea sistemului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face modelul, ce input primește, ce output produce, ce decizie influențează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Arhitectura tehnică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Diagrama componentelor, fluxul de date, integrările cu core banking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antrenament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Surse, volumul, perioada acoperită, metodologia de preprocesare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Performanța modelului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Metrici de acuratețe, precision/recall per segment, teste de bias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Limitele cunoscute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scenarii modelul nu acoperă bine, ce tipuri de clienți sunt subreprezentați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Proceduri de monitorizare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 se detectează degradarea performanței în producție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Istoricul versiunilor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s-a schimbat la fiecare update, de ce, cum s-a validat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Transparency &amp; Logging (Art. 12 + 13)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Sistemul trebuie să logheze automat evenimentele relevante și să fie transparent față de utilizatori și autorități.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Logging obligatoriu per recomandare generată: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"timestamp", "customer_id" (UUID), "trigger_signal", "product_offered",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"score", "features_snapshot", "suitability_passed": true/false,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"filters_applied": [...], "model_version", "outcome": null }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Log-urile sunt imutabile — nu pot fi șterse sau modificate retroactiv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Retenție minimum 5 ani (EBA + AI 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rapid pentru audit regulatoriu — autoritatea poate cere oricând istoricul deciziilor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Clientul vede în UI: ce date au fost folosite, ce produs a fost recomandat și de ce (Art. 13 — transparență față de utilizator)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Human Oversight (Art. 14) — cerința cea mai importantă operațional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Sistemul nu poate fi 100% automat dacă produce decizii cu impact semnificativ. Trebuie implementate mecanisme clare de intervenție umană.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Implementare concretă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Cine îl folosește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individual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managerul poate respinge o recomandare și marca motivul — log-at în audit trail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/ advisor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Opt-out client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Clientul poate refuza orice recomandare și marca că nu dorește oferte similare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în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Suspendare 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Buton de kill-switch pentru oprirea imediată a recomandărilor în caz de incident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Echipa tech /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periodic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 puțin lunar, un om revizuiește sample din recomandările generate și validează că sunt adecvate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Alertă drift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Dacă distribuția recomandărilor se schimbă semnificativ față de baseline, se generează alertă automată pentru review uman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system → echipa tech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0000" w:sz="1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Human oversight nu înseamnă că un om aprobă fiecare recomandare — înseamnă că un om POATE interveni și că există un proces documentat pentru când și cum se face asta.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Accuracy, Robustness &amp; Cybersecurity (Art. 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Definiți metrici de performanță acceptabile înainte de lansare — ex: rata de conversie minimum X%, rata de oferte nepotrivite maximum Y%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Testați comportamentul modelului cu input neașteptat: date lipsă, valori extreme, clienți noi fără istoric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Implementați protecție împotriva data poisoning și adversarial attacks pe pipeline-ul de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Orice update al modelului trece prin același proces de validare ca lansarea inițială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Conformity Assessment — procesul de certificare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Înainte de lansare în producție, sistemul high-risk trebuie să treacă printr-un conformity assessment. Pentru sisteme AI în sectorul financiar, acesta poate fi realizat intern (self-assessment) dacă nu există un standard armonizat specific adoptat.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Documentație tehnică completă (sec. 3.3)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Echipa tech + 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 3 luni înainte de lansare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 complet și validat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 3 luni înainte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Testare bias și performanță pe date de validare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scientist / ML engineer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 2 luni înainte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Self-assessment conformity (sau audit extern)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 6 săptămâni înainte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Înregistrare în EU AI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Înainte de lansare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marking aplicat pe documentație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Înainte de lansare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Post-market monitoring plan activ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Echipa tech + 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 ziua 1 de producție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14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EU AI Database: https://ai-office.ec.europa.eu — înregistrarea e publică și gratuită. Autoritățile de supraveghere verifică periodic dacă sistemele high-risk sunt înregistrate.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AI Literacy — obligație activă din februarie 2025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Orice organizație care deployează sisteme AI trebuie să asigure că personalul implicat are un nivel suficient de cunoștințe despre AI. Nu e recomandat — e obligatoriu legal și activ acum.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trebuie să știe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de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Dezvoltatori / ML engineers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 funcționează modelul, ce date folosește, cum se detectează bias, ce sunt practicile interzise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tehnic documentat, minim 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Clasificarea risk AI Act, obligații high-risk, ce e permis și ce nu în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legal-tehnic, minim 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Întreg AI Act aplicabil, procesul de conformity assessment, cum se raportează incidentele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aprofundat + certificare externă recomandată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 să explice clienților că deciziile sunt AI-assisted, cum să proceseze contestații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operațional, minim 1h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0000" w:sz="1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Documentați training-ul — data, participanții, conținutul. La un audit, autoritatea poate cere dovada că AI Literacy a fost implementată.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Dacă folosiți un LLM extern pentru generarea explicațiilor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Dacă motorul folosește Claude, GPT, Gemini sau orice alt model de limbaj pentru a genera textul explicativ al recomandărilor, se aplică obligații suplimentare din august 2025.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Voi sunteți 'deployer' al unui GPAI model — responsabilitățile sunt mai ușoare decât ale provider-ului, dar există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Respectați termenii de utilizare ai provider-ului — nu folosiți modelul pentru scopuri interzise (manipulare, social scoring)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Disclosure obligatoriu în UI: </w:t>
      </w:r>
      <w:r>
        <w:rPr>
          <w:rFonts w:ascii="Arial" w:cs="Arial" w:eastAsia="Arial" w:hAnsi="Arial"/>
          <w:sz w:val="22"/>
          <w:szCs w:val="22"/>
        </w:rPr>
        <w:t xml:space="preserve">"Această explicație a fost generată automat de un sistem AI" — vizibil, nu în footnote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Input-ul trimis către LLM conține DOAR features anonimizate — niciodată date directe (nume, CNP, IBAN)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Păstrați logs ale prompturilor și outputurilor — minim 90 zile, ideal 1 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LLM-ul generează explicația — NU influențează scorul sau decizia. Dacă o face, devine parte din sistemul high-risk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4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Separarea arhitecturală între motorul de decizie (high-risk) și generatorul de explicații (LLM, limited-risk) este esențială și trebuie documentată explicit.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Practici interzise — verificare imediată în arhitectură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Acestea sunt interzise din 2 februarie 2025. Dacă există în arhitectură, trebuie eliminate acum, nu la lansare.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Practică interzisă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 se poate manifesta în soluție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Tehnici subliminale / manipulatoare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Oferte prezentate cu urgență falsă, countdown timers, limbaj de presiune pentru a determina clientul să accepte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Elimină din UI și logica de prezentare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Exploatarea vulnerabilității financiare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Ofertă de credit pentru clienți cu financial_health = fragile sau balance_trend = declining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Filtru hard în cod — deja documentat în briefing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scoring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 de 'valoare client' bazat pe comportament social, nu financiar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 implementa niciun scoring în afara dimensiunilor financiare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Inferențe despre caracteristici protejate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Deducerea etniei, religiei, orientării din categorii de cheltuieli (ex: donații, restaurante specifice)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Auditează features — city și categorii geografice trebuie eliminate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Targetare predatoare geografică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Oferte diferite bazate pe cod poștal corelat cu venituri mici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eliminat din orice logică de scoring — deja documentat în briefing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Penalități pentru neconformare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încălcare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Penalitate maximă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Practici AI interzise (Art. 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milioane EUR sau 7% din cifra de afaceri globală anuală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Nerespectarea cerințelor high-risk (Art. 9–15)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milioane EUR sau 3% din cifra de afaceri globală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Informații incorecte furnizate autorităților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 milioane EUR sau 1% din cifra de afaceri globală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Penalități naționale (ex: Italia Law 132/2025)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Până la 774.685 EUR + posibilă suspendare licență de operare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E75B6" w:sz="14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Penalitățile se aplică atât provider-ului (cel care construiește sistemul) cât și deployer-ului (banca care îl folosește). Într-un model white-label, ambele entități au expunere.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6" w:space="8"/>
        </w:pBdr>
        <w:spacing w:before="32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complementar Developer Briefing v1.0  |  Versiune 1.0  |  Martie 2026  |  De revizuit la orice schimbare majoră a modelului sau a reglementărilor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2026-03-31T11:36:06.903Z</dcterms:created>
  <dcterms:modified xsi:type="dcterms:W3CDTF">2026-03-31T11:36:06.905Z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