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jc w:val="center"/>
        <w:rPr>
          <w:rFonts w:ascii="Times New Roman" w:cs="Times New Roman" w:eastAsia="Times New Roman" w:hAnsi="Times New Roman"/>
          <w:sz w:val="52"/>
          <w:szCs w:val="52"/>
        </w:rPr>
      </w:pPr>
      <w:r w:rsidDel="00000000" w:rsidR="00000000" w:rsidRPr="00000000">
        <w:rPr>
          <w:rFonts w:ascii="Gungsuh" w:cs="Gungsuh" w:eastAsia="Gungsuh" w:hAnsi="Gungsuh"/>
          <w:b w:val="1"/>
          <w:sz w:val="52"/>
          <w:szCs w:val="52"/>
          <w:rtl w:val="0"/>
        </w:rPr>
        <w:t xml:space="preserve"> 靜宜大學資訊工程學系畢業專題計畫書</w:t>
      </w:r>
      <w:r w:rsidDel="00000000" w:rsidR="00000000" w:rsidRPr="00000000">
        <w:rPr>
          <w:rtl w:val="0"/>
        </w:rPr>
      </w:r>
    </w:p>
    <w:p w:rsidR="00000000" w:rsidDel="00000000" w:rsidP="00000000" w:rsidRDefault="00000000" w:rsidRPr="00000000" w14:paraId="00000002">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0"/>
        <w:spacing w:line="240" w:lineRule="auto"/>
        <w:rPr>
          <w:rFonts w:ascii="Times New Roman" w:cs="Times New Roman" w:eastAsia="Times New Roman" w:hAnsi="Times New Roman"/>
          <w:sz w:val="32"/>
          <w:szCs w:val="32"/>
        </w:rPr>
      </w:pPr>
      <w:r w:rsidDel="00000000" w:rsidR="00000000" w:rsidRPr="00000000">
        <w:rPr>
          <w:rFonts w:ascii="Gungsuh" w:cs="Gungsuh" w:eastAsia="Gungsuh" w:hAnsi="Gungsuh"/>
          <w:b w:val="1"/>
          <w:i w:val="1"/>
          <w:sz w:val="32"/>
          <w:szCs w:val="32"/>
          <w:rtl w:val="0"/>
        </w:rPr>
        <w:t xml:space="preserve">一、封面內容包括：</w:t>
      </w:r>
      <w:r w:rsidDel="00000000" w:rsidR="00000000" w:rsidRPr="00000000">
        <w:rPr>
          <w:rtl w:val="0"/>
        </w:rPr>
      </w:r>
    </w:p>
    <w:p w:rsidR="00000000" w:rsidDel="00000000" w:rsidP="00000000" w:rsidRDefault="00000000" w:rsidRPr="00000000" w14:paraId="00000004">
      <w:pPr>
        <w:widowControl w:val="0"/>
        <w:pBdr>
          <w:top w:color="000000" w:space="0" w:sz="24" w:val="single"/>
          <w:bottom w:color="000000" w:space="0" w:sz="24" w:val="single"/>
        </w:pBdr>
        <w:spacing w:line="240" w:lineRule="auto"/>
        <w:jc w:val="both"/>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專題名稱：基於深度學習技術的梅毒螺旋體抗體檢測影像分析系統</w:t>
      </w:r>
    </w:p>
    <w:p w:rsidR="00000000" w:rsidDel="00000000" w:rsidP="00000000" w:rsidRDefault="00000000" w:rsidRPr="00000000" w14:paraId="00000005">
      <w:pPr>
        <w:widowControl w:val="0"/>
        <w:pBdr>
          <w:top w:color="000000" w:space="0" w:sz="24" w:val="single"/>
          <w:bottom w:color="000000" w:space="0" w:sz="24" w:val="single"/>
        </w:pBdr>
        <w:spacing w:line="240" w:lineRule="auto"/>
        <w:jc w:val="both"/>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指導教師：劉志俊</w:t>
      </w:r>
    </w:p>
    <w:p w:rsidR="00000000" w:rsidDel="00000000" w:rsidP="00000000" w:rsidRDefault="00000000" w:rsidRPr="00000000" w14:paraId="00000006">
      <w:pPr>
        <w:widowControl w:val="0"/>
        <w:pBdr>
          <w:top w:color="000000" w:space="0" w:sz="24" w:val="single"/>
          <w:bottom w:color="000000" w:space="0" w:sz="24" w:val="single"/>
        </w:pBdr>
        <w:spacing w:line="240" w:lineRule="auto"/>
        <w:jc w:val="both"/>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專題學生：資工三A 411147136 黃敬汶 </w:t>
      </w:r>
      <w:hyperlink r:id="rId6">
        <w:r w:rsidDel="00000000" w:rsidR="00000000" w:rsidRPr="00000000">
          <w:rPr>
            <w:rFonts w:ascii="Times New Roman" w:cs="Times New Roman" w:eastAsia="Times New Roman" w:hAnsi="Times New Roman"/>
            <w:color w:val="1155cc"/>
            <w:sz w:val="28"/>
            <w:szCs w:val="28"/>
            <w:u w:val="single"/>
            <w:rtl w:val="0"/>
          </w:rPr>
          <w:t xml:space="preserve">s411147136@gmail.com</w:t>
        </w:r>
      </w:hyperlink>
      <w:r w:rsidDel="00000000" w:rsidR="00000000" w:rsidRPr="00000000">
        <w:rPr>
          <w:rtl w:val="0"/>
        </w:rPr>
      </w:r>
    </w:p>
    <w:p w:rsidR="00000000" w:rsidDel="00000000" w:rsidP="00000000" w:rsidRDefault="00000000" w:rsidRPr="00000000" w14:paraId="00000007">
      <w:pPr>
        <w:widowControl w:val="0"/>
        <w:pBdr>
          <w:top w:color="000000" w:space="0" w:sz="24" w:val="single"/>
          <w:bottom w:color="000000" w:space="0" w:sz="24" w:val="single"/>
        </w:pBdr>
        <w:spacing w:line="240" w:lineRule="auto"/>
        <w:jc w:val="both"/>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                    資工三A 411147372 馬芯瑜 </w:t>
      </w:r>
      <w:hyperlink r:id="rId7">
        <w:r w:rsidDel="00000000" w:rsidR="00000000" w:rsidRPr="00000000">
          <w:rPr>
            <w:rFonts w:ascii="Times New Roman" w:cs="Times New Roman" w:eastAsia="Times New Roman" w:hAnsi="Times New Roman"/>
            <w:color w:val="1155cc"/>
            <w:sz w:val="28"/>
            <w:szCs w:val="28"/>
            <w:u w:val="single"/>
            <w:rtl w:val="0"/>
          </w:rPr>
          <w:t xml:space="preserve">mss0966135803@gmail.com</w:t>
        </w:r>
      </w:hyperlink>
      <w:r w:rsidDel="00000000" w:rsidR="00000000" w:rsidRPr="00000000">
        <w:rPr>
          <w:rtl w:val="0"/>
        </w:rPr>
      </w:r>
    </w:p>
    <w:p w:rsidR="00000000" w:rsidDel="00000000" w:rsidP="00000000" w:rsidRDefault="00000000" w:rsidRPr="00000000" w14:paraId="00000008">
      <w:pPr>
        <w:widowControl w:val="0"/>
        <w:pBdr>
          <w:top w:color="000000" w:space="0" w:sz="24" w:val="single"/>
          <w:bottom w:color="000000" w:space="0" w:sz="24" w:val="single"/>
        </w:pBdr>
        <w:spacing w:line="240" w:lineRule="auto"/>
        <w:jc w:val="both"/>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                    資工三A 411147550 蔡馨儀 </w:t>
      </w:r>
      <w:hyperlink r:id="rId8">
        <w:r w:rsidDel="00000000" w:rsidR="00000000" w:rsidRPr="00000000">
          <w:rPr>
            <w:rFonts w:ascii="Times New Roman" w:cs="Times New Roman" w:eastAsia="Times New Roman" w:hAnsi="Times New Roman"/>
            <w:color w:val="1155cc"/>
            <w:sz w:val="28"/>
            <w:szCs w:val="28"/>
            <w:u w:val="single"/>
            <w:rtl w:val="0"/>
          </w:rPr>
          <w:t xml:space="preserve">9126ella@gmail.com</w:t>
        </w:r>
      </w:hyperlink>
      <w:r w:rsidDel="00000000" w:rsidR="00000000" w:rsidRPr="00000000">
        <w:rPr>
          <w:rtl w:val="0"/>
        </w:rPr>
      </w:r>
    </w:p>
    <w:p w:rsidR="00000000" w:rsidDel="00000000" w:rsidP="00000000" w:rsidRDefault="00000000" w:rsidRPr="00000000" w14:paraId="00000009">
      <w:pPr>
        <w:widowControl w:val="0"/>
        <w:pBdr>
          <w:top w:color="000000" w:space="0" w:sz="24" w:val="single"/>
          <w:bottom w:color="000000" w:space="0" w:sz="24" w:val="single"/>
        </w:pBdr>
        <w:spacing w:line="240" w:lineRule="auto"/>
        <w:jc w:val="both"/>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                    資工三A 411147631 林盈蓁 </w:t>
      </w:r>
      <w:hyperlink r:id="rId9">
        <w:r w:rsidDel="00000000" w:rsidR="00000000" w:rsidRPr="00000000">
          <w:rPr>
            <w:rFonts w:ascii="Times New Roman" w:cs="Times New Roman" w:eastAsia="Times New Roman" w:hAnsi="Times New Roman"/>
            <w:color w:val="1155cc"/>
            <w:sz w:val="28"/>
            <w:szCs w:val="28"/>
            <w:u w:val="single"/>
            <w:rtl w:val="0"/>
          </w:rPr>
          <w:t xml:space="preserve">aliya930113@gmail.com</w:t>
        </w:r>
      </w:hyperlink>
      <w:r w:rsidDel="00000000" w:rsidR="00000000" w:rsidRPr="00000000">
        <w:rPr>
          <w:rtl w:val="0"/>
        </w:rPr>
      </w:r>
    </w:p>
    <w:p w:rsidR="00000000" w:rsidDel="00000000" w:rsidP="00000000" w:rsidRDefault="00000000" w:rsidRPr="00000000" w14:paraId="0000000A">
      <w:pPr>
        <w:widowControl w:val="0"/>
        <w:pBdr>
          <w:top w:color="000000" w:space="0" w:sz="24" w:val="single"/>
          <w:bottom w:color="000000" w:space="0" w:sz="24" w:val="single"/>
        </w:pBdr>
        <w:spacing w:line="240" w:lineRule="auto"/>
        <w:jc w:val="both"/>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繳交日期：2025/6/5</w:t>
      </w:r>
    </w:p>
    <w:p w:rsidR="00000000" w:rsidDel="00000000" w:rsidP="00000000" w:rsidRDefault="00000000" w:rsidRPr="00000000" w14:paraId="0000000B">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0"/>
        <w:spacing w:after="120" w:line="240" w:lineRule="auto"/>
        <w:jc w:val="both"/>
        <w:rPr>
          <w:rFonts w:ascii="Times New Roman" w:cs="Times New Roman" w:eastAsia="Times New Roman" w:hAnsi="Times New Roman"/>
          <w:sz w:val="32"/>
          <w:szCs w:val="32"/>
        </w:rPr>
      </w:pPr>
      <w:r w:rsidDel="00000000" w:rsidR="00000000" w:rsidRPr="00000000">
        <w:rPr>
          <w:rFonts w:ascii="Gungsuh" w:cs="Gungsuh" w:eastAsia="Gungsuh" w:hAnsi="Gungsuh"/>
          <w:b w:val="1"/>
          <w:i w:val="1"/>
          <w:sz w:val="32"/>
          <w:szCs w:val="32"/>
          <w:rtl w:val="0"/>
        </w:rPr>
        <w:t xml:space="preserve">二、內容包括：</w:t>
      </w:r>
      <w:r w:rsidDel="00000000" w:rsidR="00000000" w:rsidRPr="00000000">
        <w:rPr>
          <w:rtl w:val="0"/>
        </w:rPr>
      </w:r>
    </w:p>
    <w:p w:rsidR="00000000" w:rsidDel="00000000" w:rsidP="00000000" w:rsidRDefault="00000000" w:rsidRPr="00000000" w14:paraId="0000000E">
      <w:pPr>
        <w:widowControl w:val="0"/>
        <w:spacing w:line="240" w:lineRule="auto"/>
        <w:jc w:val="both"/>
        <w:rPr>
          <w:rFonts w:ascii="Times New Roman" w:cs="Times New Roman" w:eastAsia="Times New Roman" w:hAnsi="Times New Roman"/>
          <w:b w:val="1"/>
          <w:sz w:val="28"/>
          <w:szCs w:val="28"/>
        </w:rPr>
      </w:pPr>
      <w:r w:rsidDel="00000000" w:rsidR="00000000" w:rsidRPr="00000000">
        <w:rPr>
          <w:rFonts w:ascii="Gungsuh" w:cs="Gungsuh" w:eastAsia="Gungsuh" w:hAnsi="Gungsuh"/>
          <w:b w:val="1"/>
          <w:sz w:val="28"/>
          <w:szCs w:val="28"/>
          <w:rtl w:val="0"/>
        </w:rPr>
        <w:t xml:space="preserve">● 摘要 </w:t>
      </w:r>
    </w:p>
    <w:p w:rsidR="00000000" w:rsidDel="00000000" w:rsidP="00000000" w:rsidRDefault="00000000" w:rsidRPr="00000000" w14:paraId="0000000F">
      <w:pPr>
        <w:widowControl w:val="0"/>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widowControl w:val="0"/>
        <w:spacing w:line="240" w:lineRule="auto"/>
        <w:ind w:firstLine="720"/>
        <w:jc w:val="both"/>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梅毒是一種慢性細菌型的全球性傳染病，傳染途徑包括性交、血液和母子垂直感染。儘管可通過便宜的方式診斷和治療，但台灣的梅毒感染率逐年上升。梅毒血清測試為主要梅毒篩檢方法之一。目前梅毒血清測試卡的陽性檢體樣本判定仍仰賴人眼辨識，不僅會受人為主觀影響，且容易因血清測試卡數量龐大導致人眼疲勞而出現辨識錯誤。本研究提出使用物件偵測技術來自動辨識梅毒血清測試卡上的反應素凝集影像來判定檢體陰陽性。希望能建立客觀辨別反應素凝集影像的基準，避免人為疏失，提高梅毒篩檢的效能，減少感染者將病原體傳播給他人的風險，從而控制和降低梅毒的傳播率。</w:t>
      </w:r>
    </w:p>
    <w:p w:rsidR="00000000" w:rsidDel="00000000" w:rsidP="00000000" w:rsidRDefault="00000000" w:rsidRPr="00000000" w14:paraId="0000001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widowControl w:val="0"/>
        <w:spacing w:line="240" w:lineRule="auto"/>
        <w:jc w:val="both"/>
        <w:rPr>
          <w:rFonts w:ascii="Times New Roman" w:cs="Times New Roman" w:eastAsia="Times New Roman" w:hAnsi="Times New Roman"/>
          <w:sz w:val="28"/>
          <w:szCs w:val="28"/>
        </w:rPr>
      </w:pPr>
      <w:r w:rsidDel="00000000" w:rsidR="00000000" w:rsidRPr="00000000">
        <w:rPr>
          <w:rFonts w:ascii="Gungsuh" w:cs="Gungsuh" w:eastAsia="Gungsuh" w:hAnsi="Gungsuh"/>
          <w:b w:val="1"/>
          <w:sz w:val="28"/>
          <w:szCs w:val="28"/>
          <w:rtl w:val="0"/>
        </w:rPr>
        <w:t xml:space="preserve">● 進行方法及步驟</w:t>
      </w:r>
      <w:r w:rsidDel="00000000" w:rsidR="00000000" w:rsidRPr="00000000">
        <w:rPr>
          <w:rtl w:val="0"/>
        </w:rPr>
      </w:r>
    </w:p>
    <w:p w:rsidR="00000000" w:rsidDel="00000000" w:rsidP="00000000" w:rsidRDefault="00000000" w:rsidRPr="00000000" w14:paraId="0000001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tab/>
      </w:r>
      <w:r w:rsidDel="00000000" w:rsidR="00000000" w:rsidRPr="00000000">
        <w:rPr>
          <w:rFonts w:ascii="DFKai-SB" w:cs="DFKai-SB" w:eastAsia="DFKai-SB" w:hAnsi="DFKai-SB"/>
          <w:sz w:val="24"/>
          <w:szCs w:val="24"/>
          <w:rtl w:val="0"/>
        </w:rPr>
        <w:t xml:space="preserve">本文提出一種基於物件偵測技術來自動辨識 梅毒血清測試卡上的反應素凝集現象的梅毒快速 檢驗系統，其系統架構如圖2所示。此快速篩選系 統的主要方法與進行步驟說明如下：</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widowControl w:val="0"/>
        <w:spacing w:before="138.553466796875" w:line="202.31482028961182" w:lineRule="auto"/>
        <w:ind w:right="145.09155273437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358863" cy="2711831"/>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358863" cy="2711831"/>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widowControl w:val="0"/>
        <w:spacing w:before="138.553466796875" w:line="202.31482028961182" w:lineRule="auto"/>
        <w:ind w:right="145.091552734375"/>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圖</w:t>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DFKai-SB" w:cs="DFKai-SB" w:eastAsia="DFKai-SB" w:hAnsi="DFKai-SB"/>
          <w:b w:val="1"/>
          <w:sz w:val="24"/>
          <w:szCs w:val="24"/>
          <w:rtl w:val="0"/>
        </w:rPr>
        <w:t xml:space="preserve"> </w:t>
      </w:r>
      <w:r w:rsidDel="00000000" w:rsidR="00000000" w:rsidRPr="00000000">
        <w:rPr>
          <w:rFonts w:ascii="DFKai-SB" w:cs="DFKai-SB" w:eastAsia="DFKai-SB" w:hAnsi="DFKai-SB"/>
          <w:sz w:val="24"/>
          <w:szCs w:val="24"/>
          <w:rtl w:val="0"/>
        </w:rPr>
        <w:t xml:space="preserve">梅毒快速檢驗系統的系統架構圖方法二先偵測 標記出反應圈，</w:t>
      </w:r>
    </w:p>
    <w:p w:rsidR="00000000" w:rsidDel="00000000" w:rsidP="00000000" w:rsidRDefault="00000000" w:rsidRPr="00000000" w14:paraId="00000016">
      <w:pPr>
        <w:widowControl w:val="0"/>
        <w:spacing w:before="138.553466796875" w:line="202.31482028961182" w:lineRule="auto"/>
        <w:ind w:right="145.091552734375"/>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再將標記出的進行影像分類 </w:t>
      </w:r>
    </w:p>
    <w:p w:rsidR="00000000" w:rsidDel="00000000" w:rsidP="00000000" w:rsidRDefault="00000000" w:rsidRPr="00000000" w14:paraId="00000017">
      <w:pPr>
        <w:widowControl w:val="0"/>
        <w:spacing w:before="223.6871337890625" w:line="260.44424057006836" w:lineRule="auto"/>
        <w:ind w:left="263.99993896484375" w:right="92.2735595703125" w:hanging="162.06466674804688"/>
        <w:rPr>
          <w:rFonts w:ascii="DFKai-SB" w:cs="DFKai-SB" w:eastAsia="DFKai-SB" w:hAnsi="DFKai-SB"/>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DFKai-SB" w:cs="DFKai-SB" w:eastAsia="DFKai-SB" w:hAnsi="DFKai-SB"/>
          <w:sz w:val="24"/>
          <w:szCs w:val="24"/>
          <w:rtl w:val="0"/>
        </w:rPr>
        <w:t xml:space="preserve">梅毒 RPR卡影像蒐集：本文的梅毒 RPR卡影像 主要來自童綜合醫院梧棲院區的臨床病理科的 回溯性檢驗樣本，包含實際 RPR 卡片測試(</w:t>
      </w:r>
      <w:r w:rsidDel="00000000" w:rsidR="00000000" w:rsidRPr="00000000">
        <w:rPr>
          <w:rFonts w:ascii="Times New Roman" w:cs="Times New Roman" w:eastAsia="Times New Roman" w:hAnsi="Times New Roman"/>
          <w:sz w:val="24"/>
          <w:szCs w:val="24"/>
          <w:rtl w:val="0"/>
        </w:rPr>
        <w:t xml:space="preserve">RPR  card tests</w:t>
      </w:r>
      <w:r w:rsidDel="00000000" w:rsidR="00000000" w:rsidRPr="00000000">
        <w:rPr>
          <w:rFonts w:ascii="DFKai-SB" w:cs="DFKai-SB" w:eastAsia="DFKai-SB" w:hAnsi="DFKai-SB"/>
          <w:sz w:val="24"/>
          <w:szCs w:val="24"/>
          <w:rtl w:val="0"/>
        </w:rPr>
        <w:t xml:space="preserve">)反應後的試驗卡(</w:t>
      </w:r>
      <w:r w:rsidDel="00000000" w:rsidR="00000000" w:rsidRPr="00000000">
        <w:rPr>
          <w:rFonts w:ascii="Times New Roman" w:cs="Times New Roman" w:eastAsia="Times New Roman" w:hAnsi="Times New Roman"/>
          <w:sz w:val="24"/>
          <w:szCs w:val="24"/>
          <w:rtl w:val="0"/>
        </w:rPr>
        <w:t xml:space="preserve">RPR-Card</w:t>
      </w:r>
      <w:r w:rsidDel="00000000" w:rsidR="00000000" w:rsidRPr="00000000">
        <w:rPr>
          <w:rFonts w:ascii="DFKai-SB" w:cs="DFKai-SB" w:eastAsia="DFKai-SB" w:hAnsi="DFKai-SB"/>
          <w:sz w:val="24"/>
          <w:szCs w:val="24"/>
          <w:rtl w:val="0"/>
        </w:rPr>
        <w:t xml:space="preserve">)影像，如 圖3所示，本文一共收集140張 RPR 卡片，包含1,388個檢體反應圈(</w:t>
      </w:r>
      <w:r w:rsidDel="00000000" w:rsidR="00000000" w:rsidRPr="00000000">
        <w:rPr>
          <w:rFonts w:ascii="Times New Roman" w:cs="Times New Roman" w:eastAsia="Times New Roman" w:hAnsi="Times New Roman"/>
          <w:sz w:val="24"/>
          <w:szCs w:val="24"/>
          <w:rtl w:val="0"/>
        </w:rPr>
        <w:t xml:space="preserve">test circle</w:t>
      </w:r>
      <w:r w:rsidDel="00000000" w:rsidR="00000000" w:rsidRPr="00000000">
        <w:rPr>
          <w:rFonts w:ascii="DFKai-SB" w:cs="DFKai-SB" w:eastAsia="DFKai-SB" w:hAnsi="DFKai-SB"/>
          <w:sz w:val="24"/>
          <w:szCs w:val="24"/>
          <w:rtl w:val="0"/>
        </w:rPr>
        <w:t xml:space="preserve">)影像。為了增加 RPR 卡片的多樣性，我們亦收集額外來自檢驗 試劑廠商和其他醫療機構網路上提供的8張試驗 卡作為第二組實驗資料集，包含61個反應圈， 其中包含45個陰性、13個陽性及3個人眼難以確 認陰性陽性的疑似陽性。 </w:t>
      </w:r>
    </w:p>
    <w:p w:rsidR="00000000" w:rsidDel="00000000" w:rsidP="00000000" w:rsidRDefault="00000000" w:rsidRPr="00000000" w14:paraId="00000018">
      <w:pPr>
        <w:widowControl w:val="0"/>
        <w:spacing w:before="11.62017822265625" w:line="260.43774604797363" w:lineRule="auto"/>
        <w:ind w:left="369.974365234375" w:right="141.69189453125" w:hanging="269.853515625"/>
        <w:jc w:val="both"/>
        <w:rPr>
          <w:rFonts w:ascii="DFKai-SB" w:cs="DFKai-SB" w:eastAsia="DFKai-SB" w:hAnsi="DFKai-SB"/>
          <w:sz w:val="24"/>
          <w:szCs w:val="24"/>
        </w:rPr>
      </w:pPr>
      <w:r w:rsidDel="00000000" w:rsidR="00000000" w:rsidRPr="00000000">
        <w:rPr>
          <w:rFonts w:ascii="Times New Roman" w:cs="Times New Roman" w:eastAsia="Times New Roman" w:hAnsi="Times New Roman"/>
          <w:sz w:val="24"/>
          <w:szCs w:val="24"/>
          <w:rtl w:val="0"/>
        </w:rPr>
        <w:t xml:space="preserve">• RPR</w:t>
      </w:r>
      <w:r w:rsidDel="00000000" w:rsidR="00000000" w:rsidRPr="00000000">
        <w:rPr>
          <w:rFonts w:ascii="DFKai-SB" w:cs="DFKai-SB" w:eastAsia="DFKai-SB" w:hAnsi="DFKai-SB"/>
          <w:sz w:val="24"/>
          <w:szCs w:val="24"/>
          <w:rtl w:val="0"/>
        </w:rPr>
        <w:t xml:space="preserve"> 反應圈檢體陰陽性標記：一張典型的梅毒</w:t>
      </w:r>
      <w:r w:rsidDel="00000000" w:rsidR="00000000" w:rsidRPr="00000000">
        <w:rPr>
          <w:rFonts w:ascii="Times New Roman" w:cs="Times New Roman" w:eastAsia="Times New Roman" w:hAnsi="Times New Roman"/>
          <w:sz w:val="24"/>
          <w:szCs w:val="24"/>
          <w:rtl w:val="0"/>
        </w:rPr>
        <w:t xml:space="preserve">RPR</w:t>
      </w:r>
      <w:r w:rsidDel="00000000" w:rsidR="00000000" w:rsidRPr="00000000">
        <w:rPr>
          <w:rFonts w:ascii="DFKai-SB" w:cs="DFKai-SB" w:eastAsia="DFKai-SB" w:hAnsi="DFKai-SB"/>
          <w:sz w:val="24"/>
          <w:szCs w:val="24"/>
          <w:rtl w:val="0"/>
        </w:rPr>
        <w:t xml:space="preserve">試驗卡上包含十個反應圈，如圖3(</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DFKai-SB" w:cs="DFKai-SB" w:eastAsia="DFKai-SB" w:hAnsi="DFKai-SB"/>
          <w:sz w:val="24"/>
          <w:szCs w:val="24"/>
          <w:rtl w:val="0"/>
        </w:rPr>
        <w:t xml:space="preserve">)所 示。RPR 反應圈可以依照是否發生反應素凝集 </w:t>
      </w:r>
    </w:p>
    <w:p w:rsidR="00000000" w:rsidDel="00000000" w:rsidP="00000000" w:rsidRDefault="00000000" w:rsidRPr="00000000" w14:paraId="00000019">
      <w:pPr>
        <w:widowControl w:val="0"/>
        <w:spacing w:before="12.17010498046875" w:line="260.930757522583" w:lineRule="auto"/>
        <w:ind w:left="260.8128356933594" w:right="141.69189453125" w:firstLine="0"/>
        <w:jc w:val="righ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現象標記為有反應(</w:t>
      </w:r>
      <w:r w:rsidDel="00000000" w:rsidR="00000000" w:rsidRPr="00000000">
        <w:rPr>
          <w:rFonts w:ascii="Times New Roman" w:cs="Times New Roman" w:eastAsia="Times New Roman" w:hAnsi="Times New Roman"/>
          <w:sz w:val="24"/>
          <w:szCs w:val="24"/>
          <w:rtl w:val="0"/>
        </w:rPr>
        <w:t xml:space="preserve">reactive</w:t>
      </w:r>
      <w:r w:rsidDel="00000000" w:rsidR="00000000" w:rsidRPr="00000000">
        <w:rPr>
          <w:rFonts w:ascii="DFKai-SB" w:cs="DFKai-SB" w:eastAsia="DFKai-SB" w:hAnsi="DFKai-SB"/>
          <w:sz w:val="24"/>
          <w:szCs w:val="24"/>
          <w:rtl w:val="0"/>
        </w:rPr>
        <w:t xml:space="preserve">)的陽性，如圖3(b)中 的 反應 圈編 號1、編 號6與編 號7；沒有反應(</w:t>
      </w:r>
      <w:r w:rsidDel="00000000" w:rsidR="00000000" w:rsidRPr="00000000">
        <w:rPr>
          <w:rFonts w:ascii="Times New Roman" w:cs="Times New Roman" w:eastAsia="Times New Roman" w:hAnsi="Times New Roman"/>
          <w:sz w:val="24"/>
          <w:szCs w:val="24"/>
          <w:rtl w:val="0"/>
        </w:rPr>
        <w:t xml:space="preserve">nonreactive</w:t>
      </w:r>
      <w:r w:rsidDel="00000000" w:rsidR="00000000" w:rsidRPr="00000000">
        <w:rPr>
          <w:rFonts w:ascii="DFKai-SB" w:cs="DFKai-SB" w:eastAsia="DFKai-SB" w:hAnsi="DFKai-SB"/>
          <w:sz w:val="24"/>
          <w:szCs w:val="24"/>
          <w:rtl w:val="0"/>
        </w:rPr>
        <w:t xml:space="preserve">)標記為陰性，如圖3(b)中的反應圈 編號4與編號5；少數沒有滴入試劑與檢體的未 使用反應圈標記為空白(</w:t>
      </w:r>
      <w:r w:rsidDel="00000000" w:rsidR="00000000" w:rsidRPr="00000000">
        <w:rPr>
          <w:rFonts w:ascii="Times New Roman" w:cs="Times New Roman" w:eastAsia="Times New Roman" w:hAnsi="Times New Roman"/>
          <w:sz w:val="24"/>
          <w:szCs w:val="24"/>
          <w:rtl w:val="0"/>
        </w:rPr>
        <w:t xml:space="preserve">empty</w:t>
      </w:r>
      <w:r w:rsidDel="00000000" w:rsidR="00000000" w:rsidRPr="00000000">
        <w:rPr>
          <w:rFonts w:ascii="DFKai-SB" w:cs="DFKai-SB" w:eastAsia="DFKai-SB" w:hAnsi="DFKai-SB"/>
          <w:sz w:val="24"/>
          <w:szCs w:val="24"/>
          <w:rtl w:val="0"/>
        </w:rPr>
        <w:t xml:space="preserve">)，如圖3(</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DFKai-SB" w:cs="DFKai-SB" w:eastAsia="DFKai-SB" w:hAnsi="DFKai-SB"/>
          <w:sz w:val="24"/>
          <w:szCs w:val="24"/>
          <w:rtl w:val="0"/>
        </w:rPr>
        <w:t xml:space="preserve">)中的 反應圈編號8、編號9和編號10；另外少數人眼 難以分辨陰性陽性的疑似陽性反應圈標記為陰 陽未定(</w:t>
      </w:r>
      <w:r w:rsidDel="00000000" w:rsidR="00000000" w:rsidRPr="00000000">
        <w:rPr>
          <w:rFonts w:ascii="Times New Roman" w:cs="Times New Roman" w:eastAsia="Times New Roman" w:hAnsi="Times New Roman"/>
          <w:sz w:val="24"/>
          <w:szCs w:val="24"/>
          <w:rtl w:val="0"/>
        </w:rPr>
        <w:t xml:space="preserve">undecided</w:t>
      </w:r>
      <w:r w:rsidDel="00000000" w:rsidR="00000000" w:rsidRPr="00000000">
        <w:rPr>
          <w:rFonts w:ascii="DFKai-SB" w:cs="DFKai-SB" w:eastAsia="DFKai-SB" w:hAnsi="DFKai-SB"/>
          <w:sz w:val="24"/>
          <w:szCs w:val="24"/>
          <w:rtl w:val="0"/>
        </w:rPr>
        <w:t xml:space="preserve">)，如在圖3(b)中，編號2與編 號3反應圈中似乎有凝集反應但凝集顆粒不明顯，標記為陰陽未定，表示需用更具特異度的 </w:t>
      </w:r>
    </w:p>
    <w:p w:rsidR="00000000" w:rsidDel="00000000" w:rsidP="00000000" w:rsidRDefault="00000000" w:rsidRPr="00000000" w14:paraId="0000001A">
      <w:pPr>
        <w:widowControl w:val="0"/>
        <w:spacing w:before="1.99951171875" w:line="261.07312202453613" w:lineRule="auto"/>
        <w:ind w:left="334.87060546875" w:right="86.156005859375" w:firstLine="96.412353515625"/>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梅毒檢驗方法做進一步測定。</w:t>
      </w:r>
      <w:r w:rsidDel="00000000" w:rsidR="00000000" w:rsidRPr="00000000">
        <w:rPr>
          <w:rFonts w:ascii="Times New Roman" w:cs="Times New Roman" w:eastAsia="Times New Roman" w:hAnsi="Times New Roman"/>
          <w:sz w:val="24"/>
          <w:szCs w:val="24"/>
          <w:rtl w:val="0"/>
        </w:rPr>
        <w:t xml:space="preserve">RPR</w:t>
      </w:r>
      <w:r w:rsidDel="00000000" w:rsidR="00000000" w:rsidRPr="00000000">
        <w:rPr>
          <w:rFonts w:ascii="DFKai-SB" w:cs="DFKai-SB" w:eastAsia="DFKai-SB" w:hAnsi="DFKai-SB"/>
          <w:sz w:val="24"/>
          <w:szCs w:val="24"/>
          <w:rtl w:val="0"/>
        </w:rPr>
        <w:t xml:space="preserve"> 反應圈標記 由童綜合醫院臨床病理科醫檢師進行逐一人工 標記，再由資深醫檢師進行覆核後作為判讀參考基準。 </w:t>
      </w:r>
    </w:p>
    <w:p w:rsidR="00000000" w:rsidDel="00000000" w:rsidP="00000000" w:rsidRDefault="00000000" w:rsidRPr="00000000" w14:paraId="0000001B">
      <w:pPr>
        <w:widowControl w:val="0"/>
        <w:spacing w:before="248.843994140625" w:line="202.00590133666992" w:lineRule="auto"/>
        <w:ind w:left="140.5078125" w:right="85.0915527343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788920" cy="1626108"/>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788920" cy="1626108"/>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Fonts w:ascii="Times New Roman" w:cs="Times New Roman" w:eastAsia="Times New Roman" w:hAnsi="Times New Roman"/>
          <w:b w:val="1"/>
          <w:sz w:val="24"/>
          <w:szCs w:val="24"/>
        </w:rPr>
        <w:drawing>
          <wp:inline distB="19050" distT="19050" distL="19050" distR="19050">
            <wp:extent cx="2790445" cy="1639824"/>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790445" cy="1639824"/>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(b) </w:t>
      </w:r>
    </w:p>
    <w:p w:rsidR="00000000" w:rsidDel="00000000" w:rsidP="00000000" w:rsidRDefault="00000000" w:rsidRPr="00000000" w14:paraId="0000001C">
      <w:pPr>
        <w:widowControl w:val="0"/>
        <w:spacing w:before="12.8424072265625" w:line="260.3378391265869" w:lineRule="auto"/>
        <w:ind w:left="110.4327392578125" w:right="83.092041015625" w:hanging="71.512451171875"/>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圖</w:t>
      </w:r>
      <w:r w:rsidDel="00000000" w:rsidR="00000000" w:rsidRPr="00000000">
        <w:rPr>
          <w:rFonts w:ascii="DFKai-SB" w:cs="DFKai-SB" w:eastAsia="DFKai-SB" w:hAnsi="DFKai-SB"/>
          <w:b w:val="1"/>
          <w:sz w:val="24"/>
          <w:szCs w:val="24"/>
          <w:rtl w:val="0"/>
        </w:rPr>
        <w:t xml:space="preserve">3 (a)</w:t>
      </w:r>
      <w:r w:rsidDel="00000000" w:rsidR="00000000" w:rsidRPr="00000000">
        <w:rPr>
          <w:rFonts w:ascii="DFKai-SB" w:cs="DFKai-SB" w:eastAsia="DFKai-SB" w:hAnsi="DFKai-SB"/>
          <w:sz w:val="24"/>
          <w:szCs w:val="24"/>
          <w:rtl w:val="0"/>
        </w:rPr>
        <w:t xml:space="preserve">一張典型的梅毒 </w:t>
      </w:r>
      <w:r w:rsidDel="00000000" w:rsidR="00000000" w:rsidRPr="00000000">
        <w:rPr>
          <w:rFonts w:ascii="DFKai-SB" w:cs="DFKai-SB" w:eastAsia="DFKai-SB" w:hAnsi="DFKai-SB"/>
          <w:b w:val="1"/>
          <w:sz w:val="24"/>
          <w:szCs w:val="24"/>
          <w:rtl w:val="0"/>
        </w:rPr>
        <w:t xml:space="preserve">RPR </w:t>
      </w:r>
      <w:r w:rsidDel="00000000" w:rsidR="00000000" w:rsidRPr="00000000">
        <w:rPr>
          <w:rFonts w:ascii="DFKai-SB" w:cs="DFKai-SB" w:eastAsia="DFKai-SB" w:hAnsi="DFKai-SB"/>
          <w:sz w:val="24"/>
          <w:szCs w:val="24"/>
          <w:rtl w:val="0"/>
        </w:rPr>
        <w:t xml:space="preserve">試驗卡上包含十個反 應圈</w:t>
      </w:r>
      <w:r w:rsidDel="00000000" w:rsidR="00000000" w:rsidRPr="00000000">
        <w:rPr>
          <w:rFonts w:ascii="DFKai-SB" w:cs="DFKai-SB" w:eastAsia="DFKai-SB" w:hAnsi="DFKai-SB"/>
          <w:b w:val="1"/>
          <w:sz w:val="24"/>
          <w:szCs w:val="24"/>
          <w:rtl w:val="0"/>
        </w:rPr>
        <w:t xml:space="preserve">(test circle) [24] (b)</w:t>
      </w:r>
      <w:r w:rsidDel="00000000" w:rsidR="00000000" w:rsidRPr="00000000">
        <w:rPr>
          <w:rFonts w:ascii="DFKai-SB" w:cs="DFKai-SB" w:eastAsia="DFKai-SB" w:hAnsi="DFKai-SB"/>
          <w:sz w:val="24"/>
          <w:szCs w:val="24"/>
          <w:rtl w:val="0"/>
        </w:rPr>
        <w:t xml:space="preserve">陽性樣本</w:t>
      </w:r>
      <w:r w:rsidDel="00000000" w:rsidR="00000000" w:rsidRPr="00000000">
        <w:rPr>
          <w:rFonts w:ascii="DFKai-SB" w:cs="DFKai-SB" w:eastAsia="DFKai-SB" w:hAnsi="DFKai-SB"/>
          <w:b w:val="1"/>
          <w:sz w:val="24"/>
          <w:szCs w:val="24"/>
          <w:rtl w:val="0"/>
        </w:rPr>
        <w:t xml:space="preserve">(</w:t>
      </w:r>
      <w:r w:rsidDel="00000000" w:rsidR="00000000" w:rsidRPr="00000000">
        <w:rPr>
          <w:rFonts w:ascii="DFKai-SB" w:cs="DFKai-SB" w:eastAsia="DFKai-SB" w:hAnsi="DFKai-SB"/>
          <w:sz w:val="24"/>
          <w:szCs w:val="24"/>
          <w:rtl w:val="0"/>
        </w:rPr>
        <w:t xml:space="preserve">反應圈</w:t>
      </w:r>
      <w:r w:rsidDel="00000000" w:rsidR="00000000" w:rsidRPr="00000000">
        <w:rPr>
          <w:rFonts w:ascii="DFKai-SB" w:cs="DFKai-SB" w:eastAsia="DFKai-SB" w:hAnsi="DFKai-SB"/>
          <w:b w:val="1"/>
          <w:sz w:val="24"/>
          <w:szCs w:val="24"/>
          <w:rtl w:val="0"/>
        </w:rPr>
        <w:t xml:space="preserve">1, 6, 7) </w:t>
      </w:r>
      <w:r w:rsidDel="00000000" w:rsidR="00000000" w:rsidRPr="00000000">
        <w:rPr>
          <w:rFonts w:ascii="DFKai-SB" w:cs="DFKai-SB" w:eastAsia="DFKai-SB" w:hAnsi="DFKai-SB"/>
          <w:sz w:val="24"/>
          <w:szCs w:val="24"/>
          <w:rtl w:val="0"/>
        </w:rPr>
        <w:t xml:space="preserve">、 陰性樣本</w:t>
      </w:r>
      <w:r w:rsidDel="00000000" w:rsidR="00000000" w:rsidRPr="00000000">
        <w:rPr>
          <w:rFonts w:ascii="DFKai-SB" w:cs="DFKai-SB" w:eastAsia="DFKai-SB" w:hAnsi="DFKai-SB"/>
          <w:b w:val="1"/>
          <w:sz w:val="24"/>
          <w:szCs w:val="24"/>
          <w:rtl w:val="0"/>
        </w:rPr>
        <w:t xml:space="preserve">(</w:t>
      </w:r>
      <w:r w:rsidDel="00000000" w:rsidR="00000000" w:rsidRPr="00000000">
        <w:rPr>
          <w:rFonts w:ascii="DFKai-SB" w:cs="DFKai-SB" w:eastAsia="DFKai-SB" w:hAnsi="DFKai-SB"/>
          <w:sz w:val="24"/>
          <w:szCs w:val="24"/>
          <w:rtl w:val="0"/>
        </w:rPr>
        <w:t xml:space="preserve">反應圈</w:t>
      </w:r>
      <w:r w:rsidDel="00000000" w:rsidR="00000000" w:rsidRPr="00000000">
        <w:rPr>
          <w:rFonts w:ascii="DFKai-SB" w:cs="DFKai-SB" w:eastAsia="DFKai-SB" w:hAnsi="DFKai-SB"/>
          <w:b w:val="1"/>
          <w:sz w:val="24"/>
          <w:szCs w:val="24"/>
          <w:rtl w:val="0"/>
        </w:rPr>
        <w:t xml:space="preserve">4, 5)</w:t>
      </w:r>
      <w:r w:rsidDel="00000000" w:rsidR="00000000" w:rsidRPr="00000000">
        <w:rPr>
          <w:rFonts w:ascii="DFKai-SB" w:cs="DFKai-SB" w:eastAsia="DFKai-SB" w:hAnsi="DFKai-SB"/>
          <w:sz w:val="24"/>
          <w:szCs w:val="24"/>
          <w:rtl w:val="0"/>
        </w:rPr>
        <w:t xml:space="preserve">、和人眼難以分辨疑似陽性 </w:t>
      </w:r>
    </w:p>
    <w:p w:rsidR="00000000" w:rsidDel="00000000" w:rsidP="00000000" w:rsidRDefault="00000000" w:rsidRPr="00000000" w14:paraId="0000001D">
      <w:pPr>
        <w:widowControl w:val="0"/>
        <w:spacing w:before="12.25341796875" w:line="260.1375389099121" w:lineRule="auto"/>
        <w:ind w:left="149.476318359375" w:right="83.092041015625" w:hanging="113.7432861328125"/>
        <w:jc w:val="center"/>
        <w:rPr>
          <w:rFonts w:ascii="DFKai-SB" w:cs="DFKai-SB" w:eastAsia="DFKai-SB" w:hAnsi="DFKai-SB"/>
          <w:b w:val="1"/>
          <w:sz w:val="24"/>
          <w:szCs w:val="24"/>
        </w:rPr>
      </w:pPr>
      <w:r w:rsidDel="00000000" w:rsidR="00000000" w:rsidRPr="00000000">
        <w:rPr>
          <w:rFonts w:ascii="DFKai-SB" w:cs="DFKai-SB" w:eastAsia="DFKai-SB" w:hAnsi="DFKai-SB"/>
          <w:sz w:val="24"/>
          <w:szCs w:val="24"/>
          <w:rtl w:val="0"/>
        </w:rPr>
        <w:t xml:space="preserve">的陰陽未定樣本 </w:t>
      </w:r>
      <w:r w:rsidDel="00000000" w:rsidR="00000000" w:rsidRPr="00000000">
        <w:rPr>
          <w:rFonts w:ascii="DFKai-SB" w:cs="DFKai-SB" w:eastAsia="DFKai-SB" w:hAnsi="DFKai-SB"/>
          <w:b w:val="1"/>
          <w:sz w:val="24"/>
          <w:szCs w:val="24"/>
          <w:rtl w:val="0"/>
        </w:rPr>
        <w:t xml:space="preserve">(</w:t>
      </w:r>
      <w:r w:rsidDel="00000000" w:rsidR="00000000" w:rsidRPr="00000000">
        <w:rPr>
          <w:rFonts w:ascii="DFKai-SB" w:cs="DFKai-SB" w:eastAsia="DFKai-SB" w:hAnsi="DFKai-SB"/>
          <w:sz w:val="24"/>
          <w:szCs w:val="24"/>
          <w:rtl w:val="0"/>
        </w:rPr>
        <w:t xml:space="preserve">反應圈</w:t>
      </w:r>
      <w:r w:rsidDel="00000000" w:rsidR="00000000" w:rsidRPr="00000000">
        <w:rPr>
          <w:rFonts w:ascii="DFKai-SB" w:cs="DFKai-SB" w:eastAsia="DFKai-SB" w:hAnsi="DFKai-SB"/>
          <w:b w:val="1"/>
          <w:sz w:val="24"/>
          <w:szCs w:val="24"/>
          <w:rtl w:val="0"/>
        </w:rPr>
        <w:t xml:space="preserve">2, 3) </w:t>
      </w:r>
      <w:r w:rsidDel="00000000" w:rsidR="00000000" w:rsidRPr="00000000">
        <w:rPr>
          <w:rFonts w:ascii="DFKai-SB" w:cs="DFKai-SB" w:eastAsia="DFKai-SB" w:hAnsi="DFKai-SB"/>
          <w:sz w:val="24"/>
          <w:szCs w:val="24"/>
          <w:rtl w:val="0"/>
        </w:rPr>
        <w:t xml:space="preserve">、空白未使用反應圈 </w:t>
      </w:r>
      <w:r w:rsidDel="00000000" w:rsidR="00000000" w:rsidRPr="00000000">
        <w:rPr>
          <w:rFonts w:ascii="DFKai-SB" w:cs="DFKai-SB" w:eastAsia="DFKai-SB" w:hAnsi="DFKai-SB"/>
          <w:b w:val="1"/>
          <w:sz w:val="24"/>
          <w:szCs w:val="24"/>
          <w:rtl w:val="0"/>
        </w:rPr>
        <w:t xml:space="preserve">(</w:t>
      </w:r>
      <w:r w:rsidDel="00000000" w:rsidR="00000000" w:rsidRPr="00000000">
        <w:rPr>
          <w:rFonts w:ascii="DFKai-SB" w:cs="DFKai-SB" w:eastAsia="DFKai-SB" w:hAnsi="DFKai-SB"/>
          <w:sz w:val="24"/>
          <w:szCs w:val="24"/>
          <w:rtl w:val="0"/>
        </w:rPr>
        <w:t xml:space="preserve">反應圈</w:t>
      </w:r>
      <w:r w:rsidDel="00000000" w:rsidR="00000000" w:rsidRPr="00000000">
        <w:rPr>
          <w:rFonts w:ascii="DFKai-SB" w:cs="DFKai-SB" w:eastAsia="DFKai-SB" w:hAnsi="DFKai-SB"/>
          <w:b w:val="1"/>
          <w:sz w:val="24"/>
          <w:szCs w:val="24"/>
          <w:rtl w:val="0"/>
        </w:rPr>
        <w:t xml:space="preserve">8, 9, 10) </w:t>
      </w:r>
    </w:p>
    <w:p w:rsidR="00000000" w:rsidDel="00000000" w:rsidP="00000000" w:rsidRDefault="00000000" w:rsidRPr="00000000" w14:paraId="0000001E">
      <w:pPr>
        <w:widowControl w:val="0"/>
        <w:spacing w:before="132.41943359375" w:line="260.939998626709" w:lineRule="auto"/>
        <w:ind w:left="369.1326904296875" w:right="85.491943359375" w:hanging="210.8917236328125"/>
        <w:jc w:val="both"/>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RPR</w:t>
      </w:r>
      <w:r w:rsidDel="00000000" w:rsidR="00000000" w:rsidRPr="00000000">
        <w:rPr>
          <w:rFonts w:ascii="DFKai-SB" w:cs="DFKai-SB" w:eastAsia="DFKai-SB" w:hAnsi="DFKai-SB"/>
          <w:sz w:val="24"/>
          <w:szCs w:val="24"/>
          <w:rtl w:val="0"/>
        </w:rPr>
        <w:t xml:space="preserve"> 反應圈位置標記：本文使用兩種方法標記反應圈位置與檢體陰陽性：方法一為直接將反應圈標記其邊界框與陰陽性；方法二為標記反應圈的邊界框，而對其檢體陰陽性額外進行標記。圖4顯示人工標記每個 </w:t>
      </w:r>
      <w:r w:rsidDel="00000000" w:rsidR="00000000" w:rsidRPr="00000000">
        <w:rPr>
          <w:rFonts w:ascii="Times New Roman" w:cs="Times New Roman" w:eastAsia="Times New Roman" w:hAnsi="Times New Roman"/>
          <w:sz w:val="24"/>
          <w:szCs w:val="24"/>
          <w:rtl w:val="0"/>
        </w:rPr>
        <w:t xml:space="preserve">RPR</w:t>
      </w:r>
      <w:r w:rsidDel="00000000" w:rsidR="00000000" w:rsidRPr="00000000">
        <w:rPr>
          <w:rFonts w:ascii="DFKai-SB" w:cs="DFKai-SB" w:eastAsia="DFKai-SB" w:hAnsi="DFKai-SB"/>
          <w:sz w:val="24"/>
          <w:szCs w:val="24"/>
          <w:rtl w:val="0"/>
        </w:rPr>
        <w:t xml:space="preserve"> 反應圈邊界框 的典型範例，如圖中灰色反應圈的綠色外框所示。本文反應圈邊界框標記工具採用 </w:t>
      </w:r>
      <w:r w:rsidDel="00000000" w:rsidR="00000000" w:rsidRPr="00000000">
        <w:rPr>
          <w:rFonts w:ascii="Times New Roman" w:cs="Times New Roman" w:eastAsia="Times New Roman" w:hAnsi="Times New Roman"/>
          <w:sz w:val="24"/>
          <w:szCs w:val="24"/>
          <w:rtl w:val="0"/>
        </w:rPr>
        <w:t xml:space="preserve">LabelImg</w:t>
      </w:r>
      <w:r w:rsidDel="00000000" w:rsidR="00000000" w:rsidRPr="00000000">
        <w:rPr>
          <w:rFonts w:ascii="DFKai-SB" w:cs="DFKai-SB" w:eastAsia="DFKai-SB" w:hAnsi="DFKai-SB"/>
          <w:sz w:val="24"/>
          <w:szCs w:val="24"/>
          <w:rtl w:val="0"/>
        </w:rPr>
        <w:t xml:space="preserve">(</w:t>
      </w:r>
      <w:r w:rsidDel="00000000" w:rsidR="00000000" w:rsidRPr="00000000">
        <w:rPr>
          <w:rFonts w:ascii="Times New Roman" w:cs="Times New Roman" w:eastAsia="Times New Roman" w:hAnsi="Times New Roman"/>
          <w:sz w:val="24"/>
          <w:szCs w:val="24"/>
          <w:rtl w:val="0"/>
        </w:rPr>
        <w:t xml:space="preserve">https://github.com/HumanSignal/labelImg</w:t>
      </w:r>
      <w:r w:rsidDel="00000000" w:rsidR="00000000" w:rsidRPr="00000000">
        <w:rPr>
          <w:rFonts w:ascii="DFKai-SB" w:cs="DFKai-SB" w:eastAsia="DFKai-SB" w:hAnsi="DFKai-SB"/>
          <w:sz w:val="24"/>
          <w:szCs w:val="24"/>
          <w:rtl w:val="0"/>
        </w:rPr>
        <w:t xml:space="preserve">) ， 並以 </w:t>
      </w:r>
      <w:r w:rsidDel="00000000" w:rsidR="00000000" w:rsidRPr="00000000">
        <w:rPr>
          <w:rFonts w:ascii="Times New Roman" w:cs="Times New Roman" w:eastAsia="Times New Roman" w:hAnsi="Times New Roman"/>
          <w:sz w:val="24"/>
          <w:szCs w:val="24"/>
          <w:rtl w:val="0"/>
        </w:rPr>
        <w:t xml:space="preserve">YOLO</w:t>
      </w:r>
      <w:r w:rsidDel="00000000" w:rsidR="00000000" w:rsidRPr="00000000">
        <w:rPr>
          <w:rFonts w:ascii="DFKai-SB" w:cs="DFKai-SB" w:eastAsia="DFKai-SB" w:hAnsi="DFKai-SB"/>
          <w:sz w:val="24"/>
          <w:szCs w:val="24"/>
          <w:rtl w:val="0"/>
        </w:rPr>
        <w:t xml:space="preserve"> 格式儲存反應圈位置與陰陽性標記。 • RPR 試驗卡的反應圈偵測模型訓練：我們採用三種最新 YOLO 系列物件偵測模型，包含 </w:t>
      </w:r>
      <w:r w:rsidDel="00000000" w:rsidR="00000000" w:rsidRPr="00000000">
        <w:rPr>
          <w:rFonts w:ascii="Times New Roman" w:cs="Times New Roman" w:eastAsia="Times New Roman" w:hAnsi="Times New Roman"/>
          <w:sz w:val="24"/>
          <w:szCs w:val="24"/>
          <w:rtl w:val="0"/>
        </w:rPr>
        <w:t xml:space="preserve">YOLOv8</w:t>
      </w:r>
      <w:r w:rsidDel="00000000" w:rsidR="00000000" w:rsidRPr="00000000">
        <w:rPr>
          <w:rFonts w:ascii="DFKai-SB" w:cs="DFKai-SB" w:eastAsia="DFKai-SB" w:hAnsi="DFKai-SB"/>
          <w:sz w:val="24"/>
          <w:szCs w:val="24"/>
          <w:rtl w:val="0"/>
        </w:rPr>
        <w:t xml:space="preserve">[18]、</w:t>
      </w:r>
      <w:r w:rsidDel="00000000" w:rsidR="00000000" w:rsidRPr="00000000">
        <w:rPr>
          <w:rFonts w:ascii="Times New Roman" w:cs="Times New Roman" w:eastAsia="Times New Roman" w:hAnsi="Times New Roman"/>
          <w:sz w:val="24"/>
          <w:szCs w:val="24"/>
          <w:rtl w:val="0"/>
        </w:rPr>
        <w:t xml:space="preserve">YOLOv9</w:t>
      </w:r>
      <w:r w:rsidDel="00000000" w:rsidR="00000000" w:rsidRPr="00000000">
        <w:rPr>
          <w:rFonts w:ascii="DFKai-SB" w:cs="DFKai-SB" w:eastAsia="DFKai-SB" w:hAnsi="DFKai-SB"/>
          <w:sz w:val="24"/>
          <w:szCs w:val="24"/>
          <w:rtl w:val="0"/>
        </w:rPr>
        <w:t xml:space="preserve">[19]與 </w:t>
      </w:r>
      <w:r w:rsidDel="00000000" w:rsidR="00000000" w:rsidRPr="00000000">
        <w:rPr>
          <w:rFonts w:ascii="Times New Roman" w:cs="Times New Roman" w:eastAsia="Times New Roman" w:hAnsi="Times New Roman"/>
          <w:sz w:val="24"/>
          <w:szCs w:val="24"/>
          <w:rtl w:val="0"/>
        </w:rPr>
        <w:t xml:space="preserve">YOLOv10</w:t>
      </w:r>
      <w:r w:rsidDel="00000000" w:rsidR="00000000" w:rsidRPr="00000000">
        <w:rPr>
          <w:rFonts w:ascii="DFKai-SB" w:cs="DFKai-SB" w:eastAsia="DFKai-SB" w:hAnsi="DFKai-SB"/>
          <w:sz w:val="24"/>
          <w:szCs w:val="24"/>
          <w:rtl w:val="0"/>
        </w:rPr>
        <w:t xml:space="preserve">[20]來 進行 RPR 試驗卡的反應圈偵測模型訓練。 </w:t>
      </w:r>
    </w:p>
    <w:p w:rsidR="00000000" w:rsidDel="00000000" w:rsidP="00000000" w:rsidRDefault="00000000" w:rsidRPr="00000000" w14:paraId="0000001F">
      <w:pPr>
        <w:widowControl w:val="0"/>
        <w:spacing w:before="132.41943359375" w:line="260.939998626709" w:lineRule="auto"/>
        <w:ind w:left="369.1326904296875" w:right="85.491943359375" w:hanging="210.8917236328125"/>
        <w:jc w:val="both"/>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 凝集反應影像強化處理：凝集反應的判定依據為是否有出現黑色顆粒狀反應素凝集現象。因此我們亦對每個反應圈影像使用 OpenCV 進行四種影像邊緣處理技術，來強化凝集反應的顆粒邊緣特徵，測試凝集反應邊緣強化後的影像是否有助於凝集反應的自動判定。四種影像邊緣強化技術分別為 </w:t>
      </w:r>
      <w:r w:rsidDel="00000000" w:rsidR="00000000" w:rsidRPr="00000000">
        <w:rPr>
          <w:rFonts w:ascii="Times New Roman" w:cs="Times New Roman" w:eastAsia="Times New Roman" w:hAnsi="Times New Roman"/>
          <w:sz w:val="24"/>
          <w:szCs w:val="24"/>
          <w:rtl w:val="0"/>
        </w:rPr>
        <w:t xml:space="preserve">Prewitt</w:t>
      </w:r>
      <w:r w:rsidDel="00000000" w:rsidR="00000000" w:rsidRPr="00000000">
        <w:rPr>
          <w:rFonts w:ascii="DFKai-SB" w:cs="DFKai-SB" w:eastAsia="DFKai-SB" w:hAnsi="DFKai-SB"/>
          <w:sz w:val="24"/>
          <w:szCs w:val="24"/>
          <w:rtl w:val="0"/>
        </w:rPr>
        <w:t xml:space="preserve"> 運算[25]、</w:t>
      </w:r>
      <w:r w:rsidDel="00000000" w:rsidR="00000000" w:rsidRPr="00000000">
        <w:rPr>
          <w:rFonts w:ascii="Times New Roman" w:cs="Times New Roman" w:eastAsia="Times New Roman" w:hAnsi="Times New Roman"/>
          <w:sz w:val="24"/>
          <w:szCs w:val="24"/>
          <w:rtl w:val="0"/>
        </w:rPr>
        <w:t xml:space="preserve">Sobel</w:t>
      </w:r>
      <w:r w:rsidDel="00000000" w:rsidR="00000000" w:rsidRPr="00000000">
        <w:rPr>
          <w:rFonts w:ascii="DFKai-SB" w:cs="DFKai-SB" w:eastAsia="DFKai-SB" w:hAnsi="DFKai-SB"/>
          <w:sz w:val="24"/>
          <w:szCs w:val="24"/>
          <w:rtl w:val="0"/>
        </w:rPr>
        <w:t xml:space="preserve"> 運算 [26]、</w:t>
      </w:r>
      <w:r w:rsidDel="00000000" w:rsidR="00000000" w:rsidRPr="00000000">
        <w:rPr>
          <w:rFonts w:ascii="Times New Roman" w:cs="Times New Roman" w:eastAsia="Times New Roman" w:hAnsi="Times New Roman"/>
          <w:sz w:val="24"/>
          <w:szCs w:val="24"/>
          <w:rtl w:val="0"/>
        </w:rPr>
        <w:t xml:space="preserve">LoG</w:t>
      </w:r>
      <w:r w:rsidDel="00000000" w:rsidR="00000000" w:rsidRPr="00000000">
        <w:rPr>
          <w:rFonts w:ascii="DFKai-SB" w:cs="DFKai-SB" w:eastAsia="DFKai-SB" w:hAnsi="DFKai-SB"/>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Laplacian of Gaussian</w:t>
      </w:r>
      <w:r w:rsidDel="00000000" w:rsidR="00000000" w:rsidRPr="00000000">
        <w:rPr>
          <w:rFonts w:ascii="DFKai-SB" w:cs="DFKai-SB" w:eastAsia="DFKai-SB" w:hAnsi="DFKai-SB"/>
          <w:sz w:val="24"/>
          <w:szCs w:val="24"/>
          <w:rtl w:val="0"/>
        </w:rPr>
        <w:t xml:space="preserve">) 運算[27]以及</w:t>
      </w:r>
      <w:r w:rsidDel="00000000" w:rsidR="00000000" w:rsidRPr="00000000">
        <w:rPr>
          <w:rFonts w:ascii="Times New Roman" w:cs="Times New Roman" w:eastAsia="Times New Roman" w:hAnsi="Times New Roman"/>
          <w:sz w:val="24"/>
          <w:szCs w:val="24"/>
          <w:rtl w:val="0"/>
        </w:rPr>
        <w:t xml:space="preserve">Canny</w:t>
      </w:r>
      <w:r w:rsidDel="00000000" w:rsidR="00000000" w:rsidRPr="00000000">
        <w:rPr>
          <w:rFonts w:ascii="DFKai-SB" w:cs="DFKai-SB" w:eastAsia="DFKai-SB" w:hAnsi="DFKai-SB"/>
          <w:sz w:val="24"/>
          <w:szCs w:val="24"/>
          <w:rtl w:val="0"/>
        </w:rPr>
        <w:t xml:space="preserve"> 邊緣偵測[28]。反應素凝集強化後的反應 圈範例如圖5所示。 </w:t>
      </w:r>
    </w:p>
    <w:p w:rsidR="00000000" w:rsidDel="00000000" w:rsidP="00000000" w:rsidRDefault="00000000" w:rsidRPr="00000000" w14:paraId="00000020">
      <w:pPr>
        <w:widowControl w:val="0"/>
        <w:spacing w:before="141.28662109375" w:line="212.8826379776001" w:lineRule="auto"/>
        <w:ind w:left="8.037567138671875" w:right="165.05371093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788920" cy="1569720"/>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788920" cy="156972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widowControl w:val="0"/>
        <w:spacing w:before="141.28662109375" w:line="212.8826379776001" w:lineRule="auto"/>
        <w:ind w:left="8.037567138671875" w:right="165.0537109375" w:firstLine="0"/>
        <w:jc w:val="center"/>
        <w:rPr>
          <w:rFonts w:ascii="DFKai-SB" w:cs="DFKai-SB" w:eastAsia="DFKai-SB" w:hAnsi="DFKai-SB"/>
          <w:sz w:val="24"/>
          <w:szCs w:val="24"/>
          <w:highlight w:val="white"/>
        </w:rPr>
      </w:pPr>
      <w:r w:rsidDel="00000000" w:rsidR="00000000" w:rsidRPr="00000000">
        <w:rPr>
          <w:rFonts w:ascii="DFKai-SB" w:cs="DFKai-SB" w:eastAsia="DFKai-SB" w:hAnsi="DFKai-SB"/>
          <w:sz w:val="24"/>
          <w:szCs w:val="24"/>
          <w:rtl w:val="0"/>
        </w:rPr>
        <w:t xml:space="preserve">圖</w:t>
      </w:r>
      <w:r w:rsidDel="00000000" w:rsidR="00000000" w:rsidRPr="00000000">
        <w:rPr>
          <w:rFonts w:ascii="Times New Roman" w:cs="Times New Roman" w:eastAsia="Times New Roman" w:hAnsi="Times New Roman"/>
          <w:b w:val="1"/>
          <w:sz w:val="24"/>
          <w:szCs w:val="24"/>
          <w:highlight w:val="white"/>
          <w:rtl w:val="0"/>
        </w:rPr>
        <w:t xml:space="preserve">4</w:t>
      </w:r>
      <w:r w:rsidDel="00000000" w:rsidR="00000000" w:rsidRPr="00000000">
        <w:rPr>
          <w:rFonts w:ascii="DFKai-SB" w:cs="DFKai-SB" w:eastAsia="DFKai-SB" w:hAnsi="DFKai-SB"/>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RPR</w:t>
      </w:r>
      <w:r w:rsidDel="00000000" w:rsidR="00000000" w:rsidRPr="00000000">
        <w:rPr>
          <w:rFonts w:ascii="DFKai-SB" w:cs="DFKai-SB" w:eastAsia="DFKai-SB" w:hAnsi="DFKai-SB"/>
          <w:b w:val="1"/>
          <w:sz w:val="24"/>
          <w:szCs w:val="24"/>
          <w:highlight w:val="white"/>
          <w:rtl w:val="0"/>
        </w:rPr>
        <w:t xml:space="preserve"> </w:t>
      </w:r>
      <w:r w:rsidDel="00000000" w:rsidR="00000000" w:rsidRPr="00000000">
        <w:rPr>
          <w:rFonts w:ascii="DFKai-SB" w:cs="DFKai-SB" w:eastAsia="DFKai-SB" w:hAnsi="DFKai-SB"/>
          <w:sz w:val="24"/>
          <w:szCs w:val="24"/>
          <w:highlight w:val="white"/>
          <w:rtl w:val="0"/>
        </w:rPr>
        <w:t xml:space="preserve">反應圈位置標記範例，圖中灰色圓圈為</w:t>
      </w:r>
      <w:r w:rsidDel="00000000" w:rsidR="00000000" w:rsidRPr="00000000">
        <w:rPr>
          <w:rFonts w:ascii="DFKai-SB" w:cs="DFKai-SB" w:eastAsia="DFKai-SB" w:hAnsi="DFKai-SB"/>
          <w:sz w:val="24"/>
          <w:szCs w:val="24"/>
          <w:rtl w:val="0"/>
        </w:rPr>
        <w:t xml:space="preserve"> 反</w:t>
      </w:r>
      <w:r w:rsidDel="00000000" w:rsidR="00000000" w:rsidRPr="00000000">
        <w:rPr>
          <w:rFonts w:ascii="DFKai-SB" w:cs="DFKai-SB" w:eastAsia="DFKai-SB" w:hAnsi="DFKai-SB"/>
          <w:sz w:val="24"/>
          <w:szCs w:val="24"/>
          <w:highlight w:val="white"/>
          <w:rtl w:val="0"/>
        </w:rPr>
        <w:t xml:space="preserve">應圈，</w:t>
      </w:r>
    </w:p>
    <w:p w:rsidR="00000000" w:rsidDel="00000000" w:rsidP="00000000" w:rsidRDefault="00000000" w:rsidRPr="00000000" w14:paraId="00000022">
      <w:pPr>
        <w:widowControl w:val="0"/>
        <w:spacing w:before="141.28662109375" w:line="212.8826379776001" w:lineRule="auto"/>
        <w:ind w:left="8.037567138671875" w:right="165.0537109375" w:firstLine="0"/>
        <w:jc w:val="center"/>
        <w:rPr>
          <w:rFonts w:ascii="DFKai-SB" w:cs="DFKai-SB" w:eastAsia="DFKai-SB" w:hAnsi="DFKai-SB"/>
          <w:sz w:val="24"/>
          <w:szCs w:val="24"/>
          <w:highlight w:val="white"/>
        </w:rPr>
      </w:pPr>
      <w:r w:rsidDel="00000000" w:rsidR="00000000" w:rsidRPr="00000000">
        <w:rPr>
          <w:rFonts w:ascii="DFKai-SB" w:cs="DFKai-SB" w:eastAsia="DFKai-SB" w:hAnsi="DFKai-SB"/>
          <w:sz w:val="24"/>
          <w:szCs w:val="24"/>
          <w:highlight w:val="white"/>
          <w:rtl w:val="0"/>
        </w:rPr>
        <w:t xml:space="preserve">綠色外框為人工標記反應圈位置 </w:t>
      </w:r>
    </w:p>
    <w:p w:rsidR="00000000" w:rsidDel="00000000" w:rsidP="00000000" w:rsidRDefault="00000000" w:rsidRPr="00000000" w14:paraId="00000023">
      <w:pPr>
        <w:widowControl w:val="0"/>
        <w:spacing w:before="227.462158203125" w:line="240" w:lineRule="auto"/>
        <w:ind w:left="42.945556640625"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9050" distT="19050" distL="19050" distR="19050">
            <wp:extent cx="2788920" cy="1655065"/>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788920" cy="165506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widowControl w:val="0"/>
        <w:spacing w:before="227.462158203125" w:line="240" w:lineRule="auto"/>
        <w:ind w:left="42.945556640625"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圖</w:t>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DFKai-SB" w:cs="DFKai-SB" w:eastAsia="DFKai-SB" w:hAnsi="DFKai-SB"/>
          <w:b w:val="1"/>
          <w:sz w:val="24"/>
          <w:szCs w:val="24"/>
          <w:rtl w:val="0"/>
        </w:rPr>
        <w:t xml:space="preserve"> </w:t>
      </w:r>
      <w:r w:rsidDel="00000000" w:rsidR="00000000" w:rsidRPr="00000000">
        <w:rPr>
          <w:rFonts w:ascii="DFKai-SB" w:cs="DFKai-SB" w:eastAsia="DFKai-SB" w:hAnsi="DFKai-SB"/>
          <w:sz w:val="24"/>
          <w:szCs w:val="24"/>
          <w:rtl w:val="0"/>
        </w:rPr>
        <w:t xml:space="preserve">反應素凝集強化後的反應圈範例 </w:t>
      </w:r>
    </w:p>
    <w:p w:rsidR="00000000" w:rsidDel="00000000" w:rsidP="00000000" w:rsidRDefault="00000000" w:rsidRPr="00000000" w14:paraId="00000025">
      <w:pPr>
        <w:widowControl w:val="0"/>
        <w:spacing w:line="260.939998626709" w:lineRule="auto"/>
        <w:ind w:left="60.15838623046875" w:right="161.654052734375" w:firstLine="0"/>
        <w:jc w:val="right"/>
        <w:rPr>
          <w:rFonts w:ascii="Times New Roman" w:cs="Times New Roman" w:eastAsia="Times New Roman" w:hAnsi="Times New Roman"/>
          <w:sz w:val="28"/>
          <w:szCs w:val="28"/>
        </w:rPr>
      </w:pPr>
      <w:r w:rsidDel="00000000" w:rsidR="00000000" w:rsidRPr="00000000">
        <w:rPr>
          <w:rFonts w:ascii="DFKai-SB" w:cs="DFKai-SB" w:eastAsia="DFKai-SB" w:hAnsi="DFKai-SB"/>
          <w:sz w:val="24"/>
          <w:szCs w:val="24"/>
          <w:rtl w:val="0"/>
        </w:rPr>
        <w:t xml:space="preserve">• 反應圈影像凝集反應分類：我們使用十種不同 複雜度的卷積網路模型，包含 </w:t>
      </w:r>
      <w:r w:rsidDel="00000000" w:rsidR="00000000" w:rsidRPr="00000000">
        <w:rPr>
          <w:rFonts w:ascii="Gungsuh" w:cs="Gungsuh" w:eastAsia="Gungsuh" w:hAnsi="Gungsuh"/>
          <w:sz w:val="24"/>
          <w:szCs w:val="24"/>
          <w:rtl w:val="0"/>
        </w:rPr>
        <w:t xml:space="preserve">AlexNet[29]、 VGG16[30]、ResNet50[31]、InceptionV3[32]、 MobileNet[33] 、 DenseNet[34] 、 NASNetMobile[35] 、 ResNeXt50[36] 、 SEResNeXt50[37]</w:t>
      </w:r>
      <w:r w:rsidDel="00000000" w:rsidR="00000000" w:rsidRPr="00000000">
        <w:rPr>
          <w:rFonts w:ascii="DFKai-SB" w:cs="DFKai-SB" w:eastAsia="DFKai-SB" w:hAnsi="DFKai-SB"/>
          <w:sz w:val="24"/>
          <w:szCs w:val="24"/>
          <w:rtl w:val="0"/>
        </w:rPr>
        <w:t xml:space="preserve">與 </w:t>
      </w:r>
      <w:r w:rsidDel="00000000" w:rsidR="00000000" w:rsidRPr="00000000">
        <w:rPr>
          <w:rFonts w:ascii="Times New Roman" w:cs="Times New Roman" w:eastAsia="Times New Roman" w:hAnsi="Times New Roman"/>
          <w:sz w:val="24"/>
          <w:szCs w:val="24"/>
          <w:rtl w:val="0"/>
        </w:rPr>
        <w:t xml:space="preserve">EfficientNetB5[38]</w:t>
      </w:r>
      <w:r w:rsidDel="00000000" w:rsidR="00000000" w:rsidRPr="00000000">
        <w:rPr>
          <w:rFonts w:ascii="DFKai-SB" w:cs="DFKai-SB" w:eastAsia="DFKai-SB" w:hAnsi="DFKai-SB"/>
          <w:sz w:val="24"/>
          <w:szCs w:val="24"/>
          <w:rtl w:val="0"/>
        </w:rPr>
        <w:t xml:space="preserve">等卷積網路模型來進行 RPR 試驗卡的反應圈分類實驗。</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26">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Gungsuh" w:cs="Gungsuh" w:eastAsia="Gungsuh" w:hAnsi="Gungsuh"/>
          <w:b w:val="1"/>
          <w:sz w:val="28"/>
          <w:szCs w:val="28"/>
          <w:rtl w:val="0"/>
        </w:rPr>
        <w:t xml:space="preserve">設備需求 </w:t>
      </w:r>
      <w:r w:rsidDel="00000000" w:rsidR="00000000" w:rsidRPr="00000000">
        <w:rPr>
          <w:rFonts w:ascii="Gungsuh" w:cs="Gungsuh" w:eastAsia="Gungsuh" w:hAnsi="Gungsuh"/>
          <w:sz w:val="24"/>
          <w:szCs w:val="24"/>
          <w:rtl w:val="0"/>
        </w:rPr>
        <w:t xml:space="preserve">(硬體及軟體需求)</w:t>
      </w:r>
    </w:p>
    <w:p w:rsidR="00000000" w:rsidDel="00000000" w:rsidP="00000000" w:rsidRDefault="00000000" w:rsidRPr="00000000" w14:paraId="00000028">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widowControl w:val="0"/>
        <w:spacing w:line="240" w:lineRule="auto"/>
        <w:jc w:val="both"/>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本文實驗進行的軟體開發環境為： </w:t>
      </w:r>
    </w:p>
    <w:p w:rsidR="00000000" w:rsidDel="00000000" w:rsidP="00000000" w:rsidRDefault="00000000" w:rsidRPr="00000000" w14:paraId="0000002A">
      <w:pPr>
        <w:widowControl w:val="0"/>
        <w:spacing w:before="27.33367919921875" w:line="252.91050910949707" w:lineRule="auto"/>
        <w:ind w:left="330.8087158203125" w:right="114.1217041015625" w:hanging="270.65032958984375"/>
        <w:rPr>
          <w:rFonts w:ascii="Times New Roman" w:cs="Times New Roman" w:eastAsia="Times New Roman" w:hAnsi="Times New Roman"/>
          <w:sz w:val="24"/>
          <w:szCs w:val="24"/>
        </w:rPr>
      </w:pPr>
      <w:r w:rsidDel="00000000" w:rsidR="00000000" w:rsidRPr="00000000">
        <w:rPr>
          <w:rFonts w:ascii="DFKai-SB" w:cs="DFKai-SB" w:eastAsia="DFKai-SB" w:hAnsi="DFKai-SB"/>
          <w:sz w:val="24"/>
          <w:szCs w:val="24"/>
          <w:rtl w:val="0"/>
        </w:rPr>
        <w:t xml:space="preserve">• 程式環境</w:t>
      </w:r>
      <w:r w:rsidDel="00000000" w:rsidR="00000000" w:rsidRPr="00000000">
        <w:rPr>
          <w:rFonts w:ascii="PMingLiu" w:cs="PMingLiu" w:eastAsia="PMingLiu" w:hAnsi="PMingLiu"/>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Python 3.10</w:t>
      </w:r>
      <w:r w:rsidDel="00000000" w:rsidR="00000000" w:rsidRPr="00000000">
        <w:rPr>
          <w:rFonts w:ascii="DFKai-SB" w:cs="DFKai-SB" w:eastAsia="DFKai-SB" w:hAnsi="DFKai-SB"/>
          <w:sz w:val="24"/>
          <w:szCs w:val="24"/>
          <w:rtl w:val="0"/>
        </w:rPr>
        <w:t xml:space="preserve">與</w:t>
      </w:r>
      <w:r w:rsidDel="00000000" w:rsidR="00000000" w:rsidRPr="00000000">
        <w:rPr>
          <w:rFonts w:ascii="Times New Roman" w:cs="Times New Roman" w:eastAsia="Times New Roman" w:hAnsi="Times New Roman"/>
          <w:sz w:val="24"/>
          <w:szCs w:val="24"/>
          <w:rtl w:val="0"/>
        </w:rPr>
        <w:t xml:space="preserve"> PyCharm Professional  2023.1.2 </w:t>
      </w:r>
    </w:p>
    <w:p w:rsidR="00000000" w:rsidDel="00000000" w:rsidP="00000000" w:rsidRDefault="00000000" w:rsidRPr="00000000" w14:paraId="0000002B">
      <w:pPr>
        <w:widowControl w:val="0"/>
        <w:spacing w:line="240" w:lineRule="auto"/>
        <w:ind w:left="60.15838623046875" w:firstLine="0"/>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rFonts w:ascii="DFKai-SB" w:cs="DFKai-SB" w:eastAsia="DFKai-SB" w:hAnsi="DFKai-SB"/>
          <w:sz w:val="24"/>
          <w:szCs w:val="24"/>
          <w:rtl w:val="0"/>
        </w:rPr>
        <w:t xml:space="preserve">影像處理套件</w:t>
      </w:r>
      <w:r w:rsidDel="00000000" w:rsidR="00000000" w:rsidRPr="00000000">
        <w:rPr>
          <w:rFonts w:ascii="PMingLiu" w:cs="PMingLiu" w:eastAsia="PMingLiu" w:hAnsi="PMingLiu"/>
          <w:sz w:val="24"/>
          <w:szCs w:val="24"/>
          <w:rtl w:val="0"/>
        </w:rPr>
        <w:t xml:space="preserve">：</w:t>
      </w:r>
      <w:r w:rsidDel="00000000" w:rsidR="00000000" w:rsidRPr="00000000">
        <w:rPr>
          <w:rFonts w:ascii="Times New Roman" w:cs="Times New Roman" w:eastAsia="Times New Roman" w:hAnsi="Times New Roman"/>
          <w:sz w:val="24"/>
          <w:szCs w:val="24"/>
          <w:rtl w:val="0"/>
        </w:rPr>
        <w:t xml:space="preserve">OpenCV </w:t>
      </w:r>
    </w:p>
    <w:p w:rsidR="00000000" w:rsidDel="00000000" w:rsidP="00000000" w:rsidRDefault="00000000" w:rsidRPr="00000000" w14:paraId="0000002C">
      <w:pPr>
        <w:widowControl w:val="0"/>
        <w:spacing w:before="29.13360595703125" w:line="260.1365089416504" w:lineRule="auto"/>
        <w:ind w:left="342.1630859375" w:right="161.5625" w:hanging="282.00469970703125"/>
        <w:rPr>
          <w:rFonts w:ascii="DFKai-SB" w:cs="DFKai-SB" w:eastAsia="DFKai-SB" w:hAnsi="DFKai-SB"/>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rFonts w:ascii="DFKai-SB" w:cs="DFKai-SB" w:eastAsia="DFKai-SB" w:hAnsi="DFKai-SB"/>
          <w:sz w:val="24"/>
          <w:szCs w:val="24"/>
          <w:rtl w:val="0"/>
        </w:rPr>
        <w:t xml:space="preserve">深度學習環境</w:t>
      </w:r>
      <w:r w:rsidDel="00000000" w:rsidR="00000000" w:rsidRPr="00000000">
        <w:rPr>
          <w:rFonts w:ascii="PMingLiu" w:cs="PMingLiu" w:eastAsia="PMingLiu" w:hAnsi="PMingLiu"/>
          <w:sz w:val="24"/>
          <w:szCs w:val="24"/>
          <w:rtl w:val="0"/>
        </w:rPr>
        <w:t xml:space="preserve">：</w:t>
      </w:r>
      <w:r w:rsidDel="00000000" w:rsidR="00000000" w:rsidRPr="00000000">
        <w:rPr>
          <w:rFonts w:ascii="Gungsuh" w:cs="Gungsuh" w:eastAsia="Gungsuh" w:hAnsi="Gungsuh"/>
          <w:sz w:val="24"/>
          <w:szCs w:val="24"/>
          <w:rtl w:val="0"/>
        </w:rPr>
        <w:t xml:space="preserve">TensorFlow、Keras </w:t>
      </w:r>
      <w:r w:rsidDel="00000000" w:rsidR="00000000" w:rsidRPr="00000000">
        <w:rPr>
          <w:rFonts w:ascii="DFKai-SB" w:cs="DFKai-SB" w:eastAsia="DFKai-SB" w:hAnsi="DFKai-SB"/>
          <w:sz w:val="24"/>
          <w:szCs w:val="24"/>
          <w:rtl w:val="0"/>
        </w:rPr>
        <w:t xml:space="preserve">與 </w:t>
      </w:r>
      <w:r w:rsidDel="00000000" w:rsidR="00000000" w:rsidRPr="00000000">
        <w:rPr>
          <w:rFonts w:ascii="Times New Roman" w:cs="Times New Roman" w:eastAsia="Times New Roman" w:hAnsi="Times New Roman"/>
          <w:sz w:val="24"/>
          <w:szCs w:val="24"/>
          <w:rtl w:val="0"/>
        </w:rPr>
        <w:t xml:space="preserve">PyTorch </w:t>
      </w:r>
      <w:r w:rsidDel="00000000" w:rsidR="00000000" w:rsidRPr="00000000">
        <w:rPr>
          <w:rFonts w:ascii="DFKai-SB" w:cs="DFKai-SB" w:eastAsia="DFKai-SB" w:hAnsi="DFKai-SB"/>
          <w:sz w:val="24"/>
          <w:szCs w:val="24"/>
          <w:rtl w:val="0"/>
        </w:rPr>
        <w:t xml:space="preserve">平台 </w:t>
      </w:r>
    </w:p>
    <w:p w:rsidR="00000000" w:rsidDel="00000000" w:rsidP="00000000" w:rsidRDefault="00000000" w:rsidRPr="00000000" w14:paraId="0000002D">
      <w:pPr>
        <w:widowControl w:val="0"/>
        <w:spacing w:before="12.4200439453125" w:line="250.5022144317627" w:lineRule="auto"/>
        <w:ind w:left="328.41827392578125" w:right="161.654052734375" w:hanging="268.2598876953125"/>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rFonts w:ascii="DFKai-SB" w:cs="DFKai-SB" w:eastAsia="DFKai-SB" w:hAnsi="DFKai-SB"/>
          <w:sz w:val="24"/>
          <w:szCs w:val="24"/>
          <w:rtl w:val="0"/>
        </w:rPr>
        <w:t xml:space="preserve">物件偵測方法</w:t>
      </w:r>
      <w:r w:rsidDel="00000000" w:rsidR="00000000" w:rsidRPr="00000000">
        <w:rPr>
          <w:rFonts w:ascii="PMingLiu" w:cs="PMingLiu" w:eastAsia="PMingLiu" w:hAnsi="PMingLiu"/>
          <w:sz w:val="24"/>
          <w:szCs w:val="24"/>
          <w:rtl w:val="0"/>
        </w:rPr>
        <w:t xml:space="preserve">：</w:t>
      </w:r>
      <w:r w:rsidDel="00000000" w:rsidR="00000000" w:rsidRPr="00000000">
        <w:rPr>
          <w:rFonts w:ascii="Gungsuh" w:cs="Gungsuh" w:eastAsia="Gungsuh" w:hAnsi="Gungsuh"/>
          <w:sz w:val="24"/>
          <w:szCs w:val="24"/>
          <w:rtl w:val="0"/>
        </w:rPr>
        <w:t xml:space="preserve">YOLOv8[18]、YOLOv9[19]</w:t>
      </w:r>
      <w:r w:rsidDel="00000000" w:rsidR="00000000" w:rsidRPr="00000000">
        <w:rPr>
          <w:rFonts w:ascii="DFKai-SB" w:cs="DFKai-SB" w:eastAsia="DFKai-SB" w:hAnsi="DFKai-SB"/>
          <w:sz w:val="24"/>
          <w:szCs w:val="24"/>
          <w:rtl w:val="0"/>
        </w:rPr>
        <w:t xml:space="preserve">與</w:t>
      </w:r>
      <w:r w:rsidDel="00000000" w:rsidR="00000000" w:rsidRPr="00000000">
        <w:rPr>
          <w:rFonts w:ascii="Times New Roman" w:cs="Times New Roman" w:eastAsia="Times New Roman" w:hAnsi="Times New Roman"/>
          <w:sz w:val="24"/>
          <w:szCs w:val="24"/>
          <w:rtl w:val="0"/>
        </w:rPr>
        <w:t xml:space="preserve"> YOLOv10[20] </w:t>
      </w:r>
    </w:p>
    <w:p w:rsidR="00000000" w:rsidDel="00000000" w:rsidP="00000000" w:rsidRDefault="00000000" w:rsidRPr="00000000" w14:paraId="0000002E">
      <w:pPr>
        <w:widowControl w:val="0"/>
        <w:spacing w:line="261.340970993042" w:lineRule="auto"/>
        <w:ind w:left="0" w:right="161.654052734375" w:firstLine="0"/>
        <w:rPr>
          <w:rFonts w:ascii="Times New Roman" w:cs="Times New Roman" w:eastAsia="Times New Roman" w:hAnsi="Times New Roman"/>
          <w:sz w:val="24"/>
          <w:szCs w:val="24"/>
        </w:rPr>
      </w:pPr>
      <w:r w:rsidDel="00000000" w:rsidR="00000000" w:rsidRPr="00000000">
        <w:rPr>
          <w:rFonts w:ascii="DFKai-SB" w:cs="DFKai-SB" w:eastAsia="DFKai-SB" w:hAnsi="DFKai-SB"/>
          <w:sz w:val="24"/>
          <w:szCs w:val="24"/>
          <w:rtl w:val="0"/>
        </w:rPr>
        <w:t xml:space="preserve">電腦硬體計算設備為 </w:t>
      </w:r>
      <w:r w:rsidDel="00000000" w:rsidR="00000000" w:rsidRPr="00000000">
        <w:rPr>
          <w:rFonts w:ascii="Gungsuh" w:cs="Gungsuh" w:eastAsia="Gungsuh" w:hAnsi="Gungsuh"/>
          <w:sz w:val="24"/>
          <w:szCs w:val="24"/>
          <w:rtl w:val="0"/>
        </w:rPr>
        <w:t xml:space="preserve">i7-12700 2.10GHz CPU、 64 GB RAM、</w:t>
      </w:r>
      <w:r w:rsidDel="00000000" w:rsidR="00000000" w:rsidRPr="00000000">
        <w:rPr>
          <w:rFonts w:ascii="DFKai-SB" w:cs="DFKai-SB" w:eastAsia="DFKai-SB" w:hAnsi="DFKai-SB"/>
          <w:sz w:val="24"/>
          <w:szCs w:val="24"/>
          <w:rtl w:val="0"/>
        </w:rPr>
        <w:t xml:space="preserve">並使用</w:t>
      </w:r>
      <w:r w:rsidDel="00000000" w:rsidR="00000000" w:rsidRPr="00000000">
        <w:rPr>
          <w:rFonts w:ascii="Times New Roman" w:cs="Times New Roman" w:eastAsia="Times New Roman" w:hAnsi="Times New Roman"/>
          <w:sz w:val="24"/>
          <w:szCs w:val="24"/>
          <w:rtl w:val="0"/>
        </w:rPr>
        <w:t xml:space="preserve"> RTX 4090 GPU </w:t>
      </w:r>
      <w:r w:rsidDel="00000000" w:rsidR="00000000" w:rsidRPr="00000000">
        <w:rPr>
          <w:rFonts w:ascii="DFKai-SB" w:cs="DFKai-SB" w:eastAsia="DFKai-SB" w:hAnsi="DFKai-SB"/>
          <w:sz w:val="24"/>
          <w:szCs w:val="24"/>
          <w:rtl w:val="0"/>
        </w:rPr>
        <w:t xml:space="preserve">進行卷積網路 模型訓練運算加速</w:t>
      </w:r>
      <w:r w:rsidDel="00000000" w:rsidR="00000000" w:rsidRPr="00000000">
        <w:rPr>
          <w:rFonts w:ascii="MingLiu" w:cs="MingLiu" w:eastAsia="MingLiu" w:hAnsi="MingLiu"/>
          <w:sz w:val="24"/>
          <w:szCs w:val="24"/>
          <w:rtl w:val="0"/>
        </w:rPr>
        <w:t xml:space="preserve">。 </w:t>
      </w:r>
      <w:r w:rsidDel="00000000" w:rsidR="00000000" w:rsidRPr="00000000">
        <w:rPr>
          <w:rtl w:val="0"/>
        </w:rPr>
      </w:r>
    </w:p>
    <w:p w:rsidR="00000000" w:rsidDel="00000000" w:rsidP="00000000" w:rsidRDefault="00000000" w:rsidRPr="00000000" w14:paraId="0000002F">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widowControl w:val="0"/>
        <w:spacing w:line="240" w:lineRule="auto"/>
        <w:jc w:val="both"/>
        <w:rPr>
          <w:rFonts w:ascii="Times New Roman" w:cs="Times New Roman" w:eastAsia="Times New Roman" w:hAnsi="Times New Roman"/>
          <w:sz w:val="24"/>
          <w:szCs w:val="24"/>
        </w:rPr>
      </w:pPr>
      <w:bookmarkStart w:colFirst="0" w:colLast="0" w:name="_xyxvn8v1hgbl" w:id="0"/>
      <w:bookmarkEnd w:id="0"/>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Gungsuh" w:cs="Gungsuh" w:eastAsia="Gungsuh" w:hAnsi="Gungsuh"/>
          <w:b w:val="1"/>
          <w:sz w:val="28"/>
          <w:szCs w:val="28"/>
          <w:rtl w:val="0"/>
        </w:rPr>
        <w:t xml:space="preserve">經費預算需求表 </w:t>
      </w:r>
      <w:r w:rsidDel="00000000" w:rsidR="00000000" w:rsidRPr="00000000">
        <w:rPr>
          <w:rFonts w:ascii="Gungsuh" w:cs="Gungsuh" w:eastAsia="Gungsuh" w:hAnsi="Gungsuh"/>
          <w:sz w:val="24"/>
          <w:szCs w:val="24"/>
          <w:rtl w:val="0"/>
        </w:rPr>
        <w:t xml:space="preserve">(執行中所需之經費項目單價明細)</w:t>
      </w:r>
    </w:p>
    <w:p w:rsidR="00000000" w:rsidDel="00000000" w:rsidP="00000000" w:rsidRDefault="00000000" w:rsidRPr="00000000" w14:paraId="00000031">
      <w:pPr>
        <w:widowControl w:val="0"/>
        <w:spacing w:after="120" w:before="120" w:line="24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1"/>
        <w:tblW w:w="9720.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571"/>
        <w:gridCol w:w="3289"/>
        <w:gridCol w:w="540"/>
        <w:gridCol w:w="540"/>
        <w:gridCol w:w="1080"/>
        <w:gridCol w:w="1080"/>
        <w:gridCol w:w="1620"/>
        <w:tblGridChange w:id="0">
          <w:tblGrid>
            <w:gridCol w:w="1571"/>
            <w:gridCol w:w="3289"/>
            <w:gridCol w:w="540"/>
            <w:gridCol w:w="540"/>
            <w:gridCol w:w="1080"/>
            <w:gridCol w:w="1080"/>
            <w:gridCol w:w="1620"/>
          </w:tblGrid>
        </w:tblGridChange>
      </w:tblGrid>
      <w:tr>
        <w:trPr>
          <w:cantSplit w:val="1"/>
          <w:trHeight w:val="540" w:hRule="atLeast"/>
          <w:tblHeader w:val="0"/>
        </w:trPr>
        <w:tc>
          <w:tcPr>
            <w:vMerge w:val="restart"/>
            <w:vAlign w:val="top"/>
          </w:tcPr>
          <w:p w:rsidR="00000000" w:rsidDel="00000000" w:rsidP="00000000" w:rsidRDefault="00000000" w:rsidRPr="00000000" w14:paraId="00000032">
            <w:pPr>
              <w:widowControl w:val="0"/>
              <w:spacing w:before="360"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項 目 名 稱</w:t>
            </w:r>
          </w:p>
        </w:tc>
        <w:tc>
          <w:tcPr>
            <w:vMerge w:val="restart"/>
            <w:vAlign w:val="top"/>
          </w:tcPr>
          <w:p w:rsidR="00000000" w:rsidDel="00000000" w:rsidP="00000000" w:rsidRDefault="00000000" w:rsidRPr="00000000" w14:paraId="00000033">
            <w:pPr>
              <w:widowControl w:val="0"/>
              <w:spacing w:before="360"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說         明</w:t>
            </w:r>
          </w:p>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vMerge w:val="restart"/>
            <w:vAlign w:val="top"/>
          </w:tcPr>
          <w:p w:rsidR="00000000" w:rsidDel="00000000" w:rsidP="00000000" w:rsidRDefault="00000000" w:rsidRPr="00000000" w14:paraId="00000035">
            <w:pPr>
              <w:widowControl w:val="0"/>
              <w:spacing w:before="360"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單位</w:t>
            </w:r>
          </w:p>
        </w:tc>
        <w:tc>
          <w:tcPr>
            <w:vMerge w:val="restart"/>
            <w:vAlign w:val="top"/>
          </w:tcPr>
          <w:p w:rsidR="00000000" w:rsidDel="00000000" w:rsidP="00000000" w:rsidRDefault="00000000" w:rsidRPr="00000000" w14:paraId="00000036">
            <w:pPr>
              <w:widowControl w:val="0"/>
              <w:spacing w:before="360"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數量</w:t>
            </w:r>
          </w:p>
        </w:tc>
        <w:tc>
          <w:tcPr>
            <w:vAlign w:val="top"/>
          </w:tcPr>
          <w:p w:rsidR="00000000" w:rsidDel="00000000" w:rsidP="00000000" w:rsidRDefault="00000000" w:rsidRPr="00000000" w14:paraId="00000037">
            <w:pPr>
              <w:widowControl w:val="0"/>
              <w:spacing w:before="100"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單  價</w:t>
            </w:r>
          </w:p>
        </w:tc>
        <w:tc>
          <w:tcPr>
            <w:vAlign w:val="top"/>
          </w:tcPr>
          <w:p w:rsidR="00000000" w:rsidDel="00000000" w:rsidP="00000000" w:rsidRDefault="00000000" w:rsidRPr="00000000" w14:paraId="00000038">
            <w:pPr>
              <w:widowControl w:val="0"/>
              <w:spacing w:before="100"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小  計</w:t>
            </w:r>
          </w:p>
        </w:tc>
        <w:tc>
          <w:tcPr>
            <w:vMerge w:val="restart"/>
            <w:vAlign w:val="top"/>
          </w:tcPr>
          <w:p w:rsidR="00000000" w:rsidDel="00000000" w:rsidP="00000000" w:rsidRDefault="00000000" w:rsidRPr="00000000" w14:paraId="00000039">
            <w:pPr>
              <w:widowControl w:val="0"/>
              <w:spacing w:before="360"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備    註</w:t>
            </w:r>
          </w:p>
        </w:tc>
      </w:tr>
      <w:tr>
        <w:trPr>
          <w:cantSplit w:val="1"/>
          <w:trHeight w:val="540" w:hRule="atLeast"/>
          <w:tblHeader w:val="0"/>
        </w:trPr>
        <w:tc>
          <w:tcPr>
            <w:vMerge w:val="continue"/>
            <w:vAlign w:val="top"/>
          </w:tcPr>
          <w:p w:rsidR="00000000" w:rsidDel="00000000" w:rsidP="00000000" w:rsidRDefault="00000000" w:rsidRPr="00000000" w14:paraId="0000003A">
            <w:pPr>
              <w:widowControl w:val="0"/>
              <w:rPr>
                <w:rFonts w:ascii="Times New Roman" w:cs="Times New Roman" w:eastAsia="Times New Roman" w:hAnsi="Times New Roman"/>
                <w:sz w:val="24"/>
                <w:szCs w:val="24"/>
              </w:rPr>
            </w:pPr>
            <w:r w:rsidDel="00000000" w:rsidR="00000000" w:rsidRPr="00000000">
              <w:rPr>
                <w:rtl w:val="0"/>
              </w:rPr>
            </w:r>
          </w:p>
        </w:tc>
        <w:tc>
          <w:tcPr>
            <w:vMerge w:val="continue"/>
            <w:vAlign w:val="top"/>
          </w:tcPr>
          <w:p w:rsidR="00000000" w:rsidDel="00000000" w:rsidP="00000000" w:rsidRDefault="00000000" w:rsidRPr="00000000" w14:paraId="0000003B">
            <w:pPr>
              <w:widowControl w:val="0"/>
              <w:rPr>
                <w:rFonts w:ascii="Times New Roman" w:cs="Times New Roman" w:eastAsia="Times New Roman" w:hAnsi="Times New Roman"/>
                <w:sz w:val="24"/>
                <w:szCs w:val="24"/>
              </w:rPr>
            </w:pPr>
            <w:r w:rsidDel="00000000" w:rsidR="00000000" w:rsidRPr="00000000">
              <w:rPr>
                <w:rtl w:val="0"/>
              </w:rPr>
            </w:r>
          </w:p>
        </w:tc>
        <w:tc>
          <w:tcPr>
            <w:vMerge w:val="continue"/>
            <w:vAlign w:val="top"/>
          </w:tcPr>
          <w:p w:rsidR="00000000" w:rsidDel="00000000" w:rsidP="00000000" w:rsidRDefault="00000000" w:rsidRPr="00000000" w14:paraId="0000003C">
            <w:pPr>
              <w:widowControl w:val="0"/>
              <w:rPr>
                <w:rFonts w:ascii="Times New Roman" w:cs="Times New Roman" w:eastAsia="Times New Roman" w:hAnsi="Times New Roman"/>
                <w:sz w:val="24"/>
                <w:szCs w:val="24"/>
              </w:rPr>
            </w:pPr>
            <w:r w:rsidDel="00000000" w:rsidR="00000000" w:rsidRPr="00000000">
              <w:rPr>
                <w:rtl w:val="0"/>
              </w:rPr>
            </w:r>
          </w:p>
        </w:tc>
        <w:tc>
          <w:tcPr>
            <w:vMerge w:val="continue"/>
            <w:vAlign w:val="top"/>
          </w:tcPr>
          <w:p w:rsidR="00000000" w:rsidDel="00000000" w:rsidP="00000000" w:rsidRDefault="00000000" w:rsidRPr="00000000" w14:paraId="0000003D">
            <w:pPr>
              <w:widowControl w:val="0"/>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03E">
            <w:pPr>
              <w:widowControl w:val="0"/>
              <w:spacing w:before="60"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臺幣(元)</w:t>
            </w:r>
          </w:p>
        </w:tc>
        <w:tc>
          <w:tcPr>
            <w:vAlign w:val="top"/>
          </w:tcPr>
          <w:p w:rsidR="00000000" w:rsidDel="00000000" w:rsidP="00000000" w:rsidRDefault="00000000" w:rsidRPr="00000000" w14:paraId="0000003F">
            <w:pPr>
              <w:widowControl w:val="0"/>
              <w:spacing w:before="60"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臺幣(元)</w:t>
            </w:r>
          </w:p>
        </w:tc>
        <w:tc>
          <w:tcPr>
            <w:vMerge w:val="continue"/>
            <w:vAlign w:val="top"/>
          </w:tcPr>
          <w:p w:rsidR="00000000" w:rsidDel="00000000" w:rsidP="00000000" w:rsidRDefault="00000000" w:rsidRPr="00000000" w14:paraId="00000040">
            <w:pPr>
              <w:widowControl w:val="0"/>
              <w:rPr>
                <w:rFonts w:ascii="Times New Roman" w:cs="Times New Roman" w:eastAsia="Times New Roman" w:hAnsi="Times New Roman"/>
                <w:sz w:val="24"/>
                <w:szCs w:val="24"/>
              </w:rPr>
            </w:pPr>
            <w:r w:rsidDel="00000000" w:rsidR="00000000" w:rsidRPr="00000000">
              <w:rPr>
                <w:rtl w:val="0"/>
              </w:rPr>
            </w:r>
          </w:p>
        </w:tc>
      </w:tr>
      <w:tr>
        <w:trPr>
          <w:cantSplit w:val="0"/>
          <w:trHeight w:val="810" w:hRule="atLeast"/>
          <w:tblHeader w:val="0"/>
        </w:trPr>
        <w:tc>
          <w:tcPr>
            <w:vAlign w:val="top"/>
          </w:tcPr>
          <w:p w:rsidR="00000000" w:rsidDel="00000000" w:rsidP="00000000" w:rsidRDefault="00000000" w:rsidRPr="00000000" w14:paraId="00000041">
            <w:pPr>
              <w:widowControl w:val="0"/>
              <w:spacing w:line="240" w:lineRule="auto"/>
              <w:ind w:firstLine="154"/>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桌上型電腦</w:t>
            </w:r>
          </w:p>
        </w:tc>
        <w:tc>
          <w:tcP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專案之進行</w:t>
            </w:r>
          </w:p>
        </w:tc>
        <w:tc>
          <w:tcPr>
            <w:vAlign w:val="top"/>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部</w:t>
            </w:r>
          </w:p>
        </w:tc>
        <w:tc>
          <w:tcPr>
            <w:vAlign w:val="top"/>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top"/>
          </w:tcPr>
          <w:p w:rsidR="00000000" w:rsidDel="00000000" w:rsidP="00000000" w:rsidRDefault="00000000" w:rsidRPr="00000000" w14:paraId="00000045">
            <w:pPr>
              <w:widowControl w:val="0"/>
              <w:spacing w:line="240" w:lineRule="auto"/>
              <w:ind w:right="146"/>
              <w:jc w:val="right"/>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046">
            <w:pPr>
              <w:widowControl w:val="0"/>
              <w:spacing w:line="240" w:lineRule="auto"/>
              <w:ind w:right="146"/>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26000</w:t>
            </w:r>
          </w:p>
        </w:tc>
        <w:tc>
          <w:tcP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由系上實驗室提供</w:t>
            </w:r>
          </w:p>
        </w:tc>
      </w:tr>
      <w:tr>
        <w:trPr>
          <w:cantSplit w:val="0"/>
          <w:trHeight w:val="795" w:hRule="atLeast"/>
          <w:tblHeader w:val="0"/>
        </w:trPr>
        <w:tc>
          <w:tcPr>
            <w:vAlign w:val="top"/>
          </w:tcPr>
          <w:p w:rsidR="00000000" w:rsidDel="00000000" w:rsidP="00000000" w:rsidRDefault="00000000" w:rsidRPr="00000000" w14:paraId="00000048">
            <w:pPr>
              <w:widowControl w:val="0"/>
              <w:spacing w:line="240" w:lineRule="auto"/>
              <w:ind w:firstLine="154"/>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壓克力板</w:t>
            </w:r>
          </w:p>
        </w:tc>
        <w:tc>
          <w:tcP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實際示範的箱子</w:t>
            </w:r>
          </w:p>
        </w:tc>
        <w:tc>
          <w:tcPr>
            <w:vAlign w:val="top"/>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個</w:t>
            </w:r>
          </w:p>
        </w:tc>
        <w:tc>
          <w:tcPr>
            <w:vAlign w:val="top"/>
          </w:tcPr>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top"/>
          </w:tcPr>
          <w:p w:rsidR="00000000" w:rsidDel="00000000" w:rsidP="00000000" w:rsidRDefault="00000000" w:rsidRPr="00000000" w14:paraId="0000004C">
            <w:pPr>
              <w:widowControl w:val="0"/>
              <w:spacing w:line="240" w:lineRule="auto"/>
              <w:ind w:right="146"/>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p>
        </w:tc>
        <w:tc>
          <w:tcPr>
            <w:vAlign w:val="top"/>
          </w:tcPr>
          <w:p w:rsidR="00000000" w:rsidDel="00000000" w:rsidP="00000000" w:rsidRDefault="00000000" w:rsidRPr="00000000" w14:paraId="0000004D">
            <w:pPr>
              <w:widowControl w:val="0"/>
              <w:spacing w:line="240" w:lineRule="auto"/>
              <w:ind w:right="146"/>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p>
        </w:tc>
        <w:tc>
          <w:tcP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由系上實驗室提供</w:t>
            </w:r>
          </w:p>
        </w:tc>
      </w:tr>
      <w:tr>
        <w:trPr>
          <w:cantSplit w:val="0"/>
          <w:trHeight w:val="539" w:hRule="atLeast"/>
          <w:tblHeader w:val="0"/>
        </w:trPr>
        <w:tc>
          <w:tcPr>
            <w:vAlign w:val="top"/>
          </w:tcPr>
          <w:p w:rsidR="00000000" w:rsidDel="00000000" w:rsidP="00000000" w:rsidRDefault="00000000" w:rsidRPr="00000000" w14:paraId="0000004F">
            <w:pPr>
              <w:widowControl w:val="0"/>
              <w:spacing w:line="240" w:lineRule="auto"/>
              <w:ind w:firstLine="154"/>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LED燈條、USB開關接頭</w:t>
            </w:r>
          </w:p>
        </w:tc>
        <w:tc>
          <w:tcP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示範箱燈光</w:t>
            </w:r>
          </w:p>
        </w:tc>
        <w:tc>
          <w:tcPr>
            <w:vAlign w:val="top"/>
          </w:tcPr>
          <w:p w:rsidR="00000000" w:rsidDel="00000000" w:rsidP="00000000" w:rsidRDefault="00000000" w:rsidRPr="00000000" w14:paraId="0000005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條</w:t>
            </w:r>
          </w:p>
        </w:tc>
        <w:tc>
          <w:tcPr>
            <w:vAlign w:val="top"/>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top"/>
          </w:tcPr>
          <w:p w:rsidR="00000000" w:rsidDel="00000000" w:rsidP="00000000" w:rsidRDefault="00000000" w:rsidRPr="00000000" w14:paraId="00000053">
            <w:pPr>
              <w:widowControl w:val="0"/>
              <w:spacing w:line="240" w:lineRule="auto"/>
              <w:ind w:right="146"/>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223</w:t>
            </w:r>
          </w:p>
        </w:tc>
        <w:tc>
          <w:tcPr>
            <w:vAlign w:val="top"/>
          </w:tcPr>
          <w:p w:rsidR="00000000" w:rsidDel="00000000" w:rsidP="00000000" w:rsidRDefault="00000000" w:rsidRPr="00000000" w14:paraId="00000054">
            <w:pPr>
              <w:widowControl w:val="0"/>
              <w:spacing w:line="240" w:lineRule="auto"/>
              <w:ind w:right="146"/>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223</w:t>
            </w:r>
          </w:p>
        </w:tc>
        <w:tc>
          <w:tcP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自行負擔</w:t>
            </w:r>
          </w:p>
        </w:tc>
      </w:tr>
      <w:tr>
        <w:trPr>
          <w:cantSplit w:val="0"/>
          <w:trHeight w:val="746.953125" w:hRule="atLeast"/>
          <w:tblHeader w:val="0"/>
        </w:trPr>
        <w:tc>
          <w:tcPr>
            <w:vAlign w:val="top"/>
          </w:tcPr>
          <w:p w:rsidR="00000000" w:rsidDel="00000000" w:rsidP="00000000" w:rsidRDefault="00000000" w:rsidRPr="00000000" w14:paraId="00000056">
            <w:pPr>
              <w:widowControl w:val="0"/>
              <w:spacing w:line="240" w:lineRule="auto"/>
              <w:ind w:firstLine="154"/>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PYNQ-ZU板</w:t>
            </w:r>
          </w:p>
        </w:tc>
        <w:tc>
          <w:tcP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硬體加速</w:t>
            </w:r>
          </w:p>
        </w:tc>
        <w:tc>
          <w:tcPr>
            <w:vAlign w:val="top"/>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塊</w:t>
            </w:r>
          </w:p>
        </w:tc>
        <w:tc>
          <w:tcPr>
            <w:vAlign w:val="top"/>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top"/>
          </w:tcPr>
          <w:p w:rsidR="00000000" w:rsidDel="00000000" w:rsidP="00000000" w:rsidRDefault="00000000" w:rsidRPr="00000000" w14:paraId="0000005A">
            <w:pPr>
              <w:widowControl w:val="0"/>
              <w:spacing w:line="240" w:lineRule="auto"/>
              <w:ind w:right="146"/>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25000</w:t>
            </w:r>
          </w:p>
        </w:tc>
        <w:tc>
          <w:tcPr>
            <w:vAlign w:val="top"/>
          </w:tcPr>
          <w:p w:rsidR="00000000" w:rsidDel="00000000" w:rsidP="00000000" w:rsidRDefault="00000000" w:rsidRPr="00000000" w14:paraId="0000005B">
            <w:pPr>
              <w:widowControl w:val="0"/>
              <w:spacing w:line="240" w:lineRule="auto"/>
              <w:ind w:right="146"/>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25000</w:t>
            </w:r>
          </w:p>
        </w:tc>
        <w:tc>
          <w:tcP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由系上實驗室提供(借用)</w:t>
            </w:r>
          </w:p>
        </w:tc>
      </w:tr>
      <w:tr>
        <w:trPr>
          <w:cantSplit w:val="0"/>
          <w:trHeight w:val="632" w:hRule="atLeast"/>
          <w:tblHeader w:val="0"/>
        </w:trPr>
        <w:tc>
          <w:tcPr>
            <w:vAlign w:val="top"/>
          </w:tcPr>
          <w:p w:rsidR="00000000" w:rsidDel="00000000" w:rsidP="00000000" w:rsidRDefault="00000000" w:rsidRPr="00000000" w14:paraId="0000005D">
            <w:pPr>
              <w:widowControl w:val="0"/>
              <w:spacing w:line="240" w:lineRule="auto"/>
              <w:ind w:firstLine="154"/>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消耗性器材</w:t>
            </w:r>
          </w:p>
        </w:tc>
        <w:tc>
          <w:tcP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隨身碟、RPR試驗卡</w:t>
            </w:r>
          </w:p>
        </w:tc>
        <w:tc>
          <w:tcPr>
            <w:vAlign w:val="top"/>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批</w:t>
            </w:r>
          </w:p>
        </w:tc>
        <w:tc>
          <w:tcPr>
            <w:vAlign w:val="top"/>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top"/>
          </w:tcPr>
          <w:p w:rsidR="00000000" w:rsidDel="00000000" w:rsidP="00000000" w:rsidRDefault="00000000" w:rsidRPr="00000000" w14:paraId="00000061">
            <w:pPr>
              <w:widowControl w:val="0"/>
              <w:spacing w:line="240" w:lineRule="auto"/>
              <w:ind w:right="146"/>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w:t>
            </w:r>
          </w:p>
        </w:tc>
        <w:tc>
          <w:tcPr>
            <w:vAlign w:val="top"/>
          </w:tcPr>
          <w:p w:rsidR="00000000" w:rsidDel="00000000" w:rsidP="00000000" w:rsidRDefault="00000000" w:rsidRPr="00000000" w14:paraId="00000062">
            <w:pPr>
              <w:widowControl w:val="0"/>
              <w:spacing w:line="240" w:lineRule="auto"/>
              <w:ind w:right="146"/>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w:t>
            </w:r>
          </w:p>
        </w:tc>
        <w:tc>
          <w:tcP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自行負擔</w:t>
            </w:r>
          </w:p>
        </w:tc>
      </w:tr>
      <w:tr>
        <w:trPr>
          <w:cantSplit w:val="0"/>
          <w:trHeight w:val="697" w:hRule="atLeast"/>
          <w:tblHeader w:val="0"/>
        </w:trPr>
        <w:tc>
          <w:tcPr>
            <w:vAlign w:val="top"/>
          </w:tcPr>
          <w:p w:rsidR="00000000" w:rsidDel="00000000" w:rsidP="00000000" w:rsidRDefault="00000000" w:rsidRPr="00000000" w14:paraId="00000064">
            <w:pPr>
              <w:widowControl w:val="0"/>
              <w:spacing w:line="240" w:lineRule="auto"/>
              <w:ind w:firstLine="154"/>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雜支費</w:t>
            </w:r>
          </w:p>
        </w:tc>
        <w:tc>
          <w:tcP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論文發表費等</w:t>
            </w:r>
          </w:p>
        </w:tc>
        <w:tc>
          <w:tcPr>
            <w:vAlign w:val="top"/>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次</w:t>
            </w:r>
          </w:p>
        </w:tc>
        <w:tc>
          <w:tcPr>
            <w:vAlign w:val="top"/>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top"/>
          </w:tcPr>
          <w:p w:rsidR="00000000" w:rsidDel="00000000" w:rsidP="00000000" w:rsidRDefault="00000000" w:rsidRPr="00000000" w14:paraId="00000068">
            <w:pPr>
              <w:widowControl w:val="0"/>
              <w:spacing w:line="240" w:lineRule="auto"/>
              <w:ind w:right="146"/>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w:t>
            </w:r>
          </w:p>
        </w:tc>
        <w:tc>
          <w:tcPr>
            <w:vAlign w:val="top"/>
          </w:tcPr>
          <w:p w:rsidR="00000000" w:rsidDel="00000000" w:rsidP="00000000" w:rsidRDefault="00000000" w:rsidRPr="00000000" w14:paraId="00000069">
            <w:pPr>
              <w:widowControl w:val="0"/>
              <w:spacing w:line="240" w:lineRule="auto"/>
              <w:ind w:right="146"/>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w:t>
            </w:r>
          </w:p>
        </w:tc>
        <w:tc>
          <w:tcP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自行負擔</w:t>
            </w:r>
          </w:p>
        </w:tc>
      </w:tr>
      <w:tr>
        <w:trPr>
          <w:cantSplit w:val="0"/>
          <w:trHeight w:val="523" w:hRule="atLeast"/>
          <w:tblHeader w:val="0"/>
        </w:trPr>
        <w:tc>
          <w:tcPr>
            <w:vAlign w:val="top"/>
          </w:tcPr>
          <w:p w:rsidR="00000000" w:rsidDel="00000000" w:rsidP="00000000" w:rsidRDefault="00000000" w:rsidRPr="00000000" w14:paraId="0000006B">
            <w:pPr>
              <w:widowControl w:val="0"/>
              <w:spacing w:line="240" w:lineRule="auto"/>
              <w:ind w:firstLine="154"/>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雜支費</w:t>
            </w:r>
          </w:p>
        </w:tc>
        <w:tc>
          <w:tcP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印刷費、文具等</w:t>
            </w:r>
          </w:p>
        </w:tc>
        <w:tc>
          <w:tcPr>
            <w:vAlign w:val="top"/>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批</w:t>
            </w:r>
          </w:p>
        </w:tc>
        <w:tc>
          <w:tcPr>
            <w:vAlign w:val="top"/>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top"/>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500</w:t>
            </w:r>
          </w:p>
        </w:tc>
        <w:tc>
          <w:tcPr>
            <w:vAlign w:val="top"/>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500</w:t>
            </w:r>
          </w:p>
        </w:tc>
        <w:tc>
          <w:tcP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自行負擔</w:t>
            </w:r>
          </w:p>
        </w:tc>
      </w:tr>
      <w:tr>
        <w:trPr>
          <w:cantSplit w:val="1"/>
          <w:tblHeader w:val="0"/>
        </w:trPr>
        <w:tc>
          <w:tcPr>
            <w:gridSpan w:val="5"/>
            <w:vAlign w:val="top"/>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共                          計</w:t>
            </w:r>
          </w:p>
        </w:tc>
        <w:tc>
          <w:tcPr>
            <w:vAlign w:val="top"/>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58223</w:t>
            </w:r>
          </w:p>
        </w:tc>
        <w:tc>
          <w:tcPr>
            <w:vAlign w:val="top"/>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9">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widowControl w:val="0"/>
        <w:spacing w:line="240" w:lineRule="auto"/>
        <w:jc w:val="both"/>
        <w:rPr>
          <w:rFonts w:ascii="Times New Roman" w:cs="Times New Roman" w:eastAsia="Times New Roman" w:hAnsi="Times New Roman"/>
          <w:sz w:val="24"/>
          <w:szCs w:val="24"/>
        </w:rPr>
      </w:pPr>
      <w:r w:rsidDel="00000000" w:rsidR="00000000" w:rsidRPr="00000000">
        <w:rPr>
          <w:rFonts w:ascii="Gungsuh" w:cs="Gungsuh" w:eastAsia="Gungsuh" w:hAnsi="Gungsuh"/>
          <w:b w:val="1"/>
          <w:sz w:val="28"/>
          <w:szCs w:val="28"/>
          <w:rtl w:val="0"/>
        </w:rPr>
        <w:t xml:space="preserve">● 工作分配 </w:t>
      </w:r>
      <w:r w:rsidDel="00000000" w:rsidR="00000000" w:rsidRPr="00000000">
        <w:rPr>
          <w:rFonts w:ascii="Gungsuh" w:cs="Gungsuh" w:eastAsia="Gungsuh" w:hAnsi="Gungsuh"/>
          <w:sz w:val="24"/>
          <w:szCs w:val="24"/>
          <w:rtl w:val="0"/>
        </w:rPr>
        <w:t xml:space="preserve">(詳述參與人員分工</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7B">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560"/>
        <w:tblGridChange w:id="0">
          <w:tblGrid>
            <w:gridCol w:w="1440"/>
            <w:gridCol w:w="7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姓名</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參與工作</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黃敬汶</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論文撰寫、實驗設計、會議紀錄、PPT撰寫、實驗操作、統籌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馬芯瑜</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部分實驗、論文撰寫、會議記錄、PPT撰寫、用具採買</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蔡馨儀</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論文撰寫、文書處理、會議記錄、PPT製作</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林盈蓁</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論文撰寫、文書處理、會議記錄、PPT製作、PPT演說</w:t>
            </w:r>
          </w:p>
        </w:tc>
      </w:tr>
    </w:tbl>
    <w:p w:rsidR="00000000" w:rsidDel="00000000" w:rsidP="00000000" w:rsidRDefault="00000000" w:rsidRPr="00000000" w14:paraId="00000086">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widowControl w:val="0"/>
        <w:spacing w:line="240" w:lineRule="auto"/>
        <w:jc w:val="both"/>
        <w:rPr>
          <w:rFonts w:ascii="Times New Roman" w:cs="Times New Roman" w:eastAsia="Times New Roman" w:hAnsi="Times New Roman"/>
          <w:sz w:val="28"/>
          <w:szCs w:val="28"/>
        </w:rPr>
      </w:pPr>
      <w:r w:rsidDel="00000000" w:rsidR="00000000" w:rsidRPr="00000000">
        <w:rPr>
          <w:rFonts w:ascii="Gungsuh" w:cs="Gungsuh" w:eastAsia="Gungsuh" w:hAnsi="Gungsuh"/>
          <w:b w:val="1"/>
          <w:sz w:val="28"/>
          <w:szCs w:val="28"/>
          <w:rtl w:val="0"/>
        </w:rPr>
        <w:t xml:space="preserve">● 預期完成之工作項目及具體成果</w:t>
      </w:r>
      <w:r w:rsidDel="00000000" w:rsidR="00000000" w:rsidRPr="00000000">
        <w:rPr>
          <w:rtl w:val="0"/>
        </w:rPr>
      </w:r>
    </w:p>
    <w:p w:rsidR="00000000" w:rsidDel="00000000" w:rsidP="00000000" w:rsidRDefault="00000000" w:rsidRPr="00000000" w14:paraId="00000089">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widowControl w:val="0"/>
        <w:spacing w:line="240" w:lineRule="auto"/>
        <w:jc w:val="both"/>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完成論文撰寫及實際系統展現</w:t>
      </w:r>
    </w:p>
    <w:p w:rsidR="00000000" w:rsidDel="00000000" w:rsidP="00000000" w:rsidRDefault="00000000" w:rsidRPr="00000000" w14:paraId="0000008B">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widowControl w:val="0"/>
        <w:spacing w:line="36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tl w:val="0"/>
        </w:rPr>
      </w:r>
    </w:p>
    <w:p w:rsidR="00000000" w:rsidDel="00000000" w:rsidP="00000000" w:rsidRDefault="00000000" w:rsidRPr="00000000" w14:paraId="0000008D">
      <w:pPr>
        <w:widowControl w:val="0"/>
        <w:spacing w:line="360" w:lineRule="auto"/>
        <w:ind w:left="360"/>
        <w:jc w:val="both"/>
        <w:rPr>
          <w:rFonts w:ascii="Times New Roman" w:cs="Times New Roman" w:eastAsia="Times New Roman" w:hAnsi="Times New Roman"/>
          <w:color w:val="ff0000"/>
          <w:sz w:val="24"/>
          <w:szCs w:val="24"/>
        </w:rPr>
      </w:pPr>
      <w:r w:rsidDel="00000000" w:rsidR="00000000" w:rsidRPr="00000000">
        <w:rPr>
          <w:rFonts w:ascii="Gungsuh" w:cs="Gungsuh" w:eastAsia="Gungsuh" w:hAnsi="Gungsuh"/>
          <w:color w:val="ff0000"/>
          <w:sz w:val="24"/>
          <w:szCs w:val="24"/>
          <w:rtl w:val="0"/>
        </w:rPr>
        <w:t xml:space="preserve">(* 書面審查文件至少為2頁。不含封面，請依上述格式撰寫。)</w:t>
      </w:r>
    </w:p>
    <w:p w:rsidR="00000000" w:rsidDel="00000000" w:rsidP="00000000" w:rsidRDefault="00000000" w:rsidRPr="00000000" w14:paraId="0000008E">
      <w:pPr>
        <w:widowControl w:val="0"/>
        <w:spacing w:line="360" w:lineRule="auto"/>
        <w:ind w:left="1080"/>
        <w:jc w:val="both"/>
        <w:rPr>
          <w:rFonts w:ascii="Times New Roman" w:cs="Times New Roman" w:eastAsia="Times New Roman" w:hAnsi="Times New Roman"/>
          <w:color w:val="ff0000"/>
          <w:sz w:val="24"/>
          <w:szCs w:val="24"/>
        </w:rPr>
      </w:pPr>
      <w:r w:rsidDel="00000000" w:rsidR="00000000" w:rsidRPr="00000000">
        <w:rPr>
          <w:rFonts w:ascii="Gungsuh" w:cs="Gungsuh" w:eastAsia="Gungsuh" w:hAnsi="Gungsuh"/>
          <w:color w:val="ff0000"/>
          <w:sz w:val="24"/>
          <w:szCs w:val="24"/>
          <w:rtl w:val="0"/>
        </w:rPr>
        <w:t xml:space="preserve">(* 字型： 「本文」使用「標楷體及</w:t>
      </w:r>
      <w:r w:rsidDel="00000000" w:rsidR="00000000" w:rsidRPr="00000000">
        <w:rPr>
          <w:rFonts w:ascii="Times New Roman" w:cs="Times New Roman" w:eastAsia="Times New Roman" w:hAnsi="Times New Roman"/>
          <w:i w:val="1"/>
          <w:color w:val="ff0000"/>
          <w:sz w:val="24"/>
          <w:szCs w:val="24"/>
          <w:rtl w:val="0"/>
        </w:rPr>
        <w:t xml:space="preserve">Times</w:t>
      </w:r>
      <w:r w:rsidDel="00000000" w:rsidR="00000000" w:rsidRPr="00000000">
        <w:rPr>
          <w:rFonts w:ascii="Gungsuh" w:cs="Gungsuh" w:eastAsia="Gungsuh" w:hAnsi="Gungsuh"/>
          <w:color w:val="ff0000"/>
          <w:sz w:val="24"/>
          <w:szCs w:val="24"/>
          <w:rtl w:val="0"/>
        </w:rPr>
        <w:t xml:space="preserve">12點」；行距1.5。</w:t>
      </w:r>
    </w:p>
    <w:p w:rsidR="00000000" w:rsidDel="00000000" w:rsidP="00000000" w:rsidRDefault="00000000" w:rsidRPr="00000000" w14:paraId="0000008F">
      <w:pPr>
        <w:widowControl w:val="0"/>
        <w:spacing w:line="360" w:lineRule="auto"/>
        <w:ind w:left="120" w:firstLine="960"/>
        <w:jc w:val="both"/>
        <w:rPr>
          <w:rFonts w:ascii="Times New Roman" w:cs="Times New Roman" w:eastAsia="Times New Roman" w:hAnsi="Times New Roman"/>
          <w:color w:val="ff0000"/>
          <w:sz w:val="24"/>
          <w:szCs w:val="24"/>
        </w:rPr>
      </w:pPr>
      <w:r w:rsidDel="00000000" w:rsidR="00000000" w:rsidRPr="00000000">
        <w:rPr>
          <w:rFonts w:ascii="Gungsuh" w:cs="Gungsuh" w:eastAsia="Gungsuh" w:hAnsi="Gungsuh"/>
          <w:color w:val="ff0000"/>
          <w:sz w:val="24"/>
          <w:szCs w:val="24"/>
          <w:rtl w:val="0"/>
        </w:rPr>
        <w:t xml:space="preserve">「標題」使用「</w:t>
      </w:r>
      <w:r w:rsidDel="00000000" w:rsidR="00000000" w:rsidRPr="00000000">
        <w:rPr>
          <w:rFonts w:ascii="Gungsuh" w:cs="Gungsuh" w:eastAsia="Gungsuh" w:hAnsi="Gungsuh"/>
          <w:b w:val="1"/>
          <w:color w:val="ff0000"/>
          <w:sz w:val="28"/>
          <w:szCs w:val="28"/>
          <w:rtl w:val="0"/>
        </w:rPr>
        <w:t xml:space="preserve">粗體標楷體及</w:t>
      </w:r>
      <w:r w:rsidDel="00000000" w:rsidR="00000000" w:rsidRPr="00000000">
        <w:rPr>
          <w:rFonts w:ascii="Times New Roman" w:cs="Times New Roman" w:eastAsia="Times New Roman" w:hAnsi="Times New Roman"/>
          <w:b w:val="1"/>
          <w:i w:val="1"/>
          <w:color w:val="ff0000"/>
          <w:sz w:val="28"/>
          <w:szCs w:val="28"/>
          <w:rtl w:val="0"/>
        </w:rPr>
        <w:t xml:space="preserve">Times</w:t>
      </w:r>
      <w:r w:rsidDel="00000000" w:rsidR="00000000" w:rsidRPr="00000000">
        <w:rPr>
          <w:rFonts w:ascii="Gungsuh" w:cs="Gungsuh" w:eastAsia="Gungsuh" w:hAnsi="Gungsuh"/>
          <w:b w:val="1"/>
          <w:color w:val="ff0000"/>
          <w:sz w:val="28"/>
          <w:szCs w:val="28"/>
          <w:rtl w:val="0"/>
        </w:rPr>
        <w:t xml:space="preserve">14點</w:t>
      </w:r>
      <w:r w:rsidDel="00000000" w:rsidR="00000000" w:rsidRPr="00000000">
        <w:rPr>
          <w:rFonts w:ascii="Gungsuh" w:cs="Gungsuh" w:eastAsia="Gungsuh" w:hAnsi="Gungsuh"/>
          <w:b w:val="1"/>
          <w:color w:val="ff0000"/>
          <w:sz w:val="24"/>
          <w:szCs w:val="24"/>
          <w:rtl w:val="0"/>
        </w:rPr>
        <w:t xml:space="preserve">」</w:t>
      </w:r>
      <w:r w:rsidDel="00000000" w:rsidR="00000000" w:rsidRPr="00000000">
        <w:rPr>
          <w:rFonts w:ascii="Gungsuh" w:cs="Gungsuh" w:eastAsia="Gungsuh" w:hAnsi="Gungsuh"/>
          <w:color w:val="ff0000"/>
          <w:sz w:val="24"/>
          <w:szCs w:val="24"/>
          <w:rtl w:val="0"/>
        </w:rPr>
        <w:t xml:space="preserve">；行距1.5。)</w:t>
      </w:r>
    </w:p>
    <w:p w:rsidR="00000000" w:rsidDel="00000000" w:rsidP="00000000" w:rsidRDefault="00000000" w:rsidRPr="00000000" w14:paraId="00000090">
      <w:pPr>
        <w:widowControl w:val="0"/>
        <w:spacing w:line="240" w:lineRule="auto"/>
        <w:rPr>
          <w:rFonts w:ascii="Times New Roman" w:cs="Times New Roman" w:eastAsia="Times New Roman" w:hAnsi="Times New Roman"/>
          <w:color w:val="999999"/>
          <w:sz w:val="48"/>
          <w:szCs w:val="48"/>
        </w:rPr>
      </w:pPr>
      <w:r w:rsidDel="00000000" w:rsidR="00000000" w:rsidRPr="00000000">
        <w:rPr>
          <w:rFonts w:ascii="Gungsuh" w:cs="Gungsuh" w:eastAsia="Gungsuh" w:hAnsi="Gungsuh"/>
          <w:color w:val="ff0000"/>
          <w:sz w:val="24"/>
          <w:szCs w:val="24"/>
          <w:rtl w:val="0"/>
        </w:rPr>
        <w:t xml:space="preserve">(* 上下左右的邊界至多2.5公分，至少1公分。</w:t>
      </w:r>
      <w:r w:rsidDel="00000000" w:rsidR="00000000" w:rsidRPr="00000000">
        <w:rPr>
          <w:rtl w:val="0"/>
        </w:rPr>
      </w:r>
    </w:p>
    <w:p w:rsidR="00000000" w:rsidDel="00000000" w:rsidP="00000000" w:rsidRDefault="00000000" w:rsidRPr="00000000" w14:paraId="0000009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 w:name="DFKai-SB"/>
  <w:font w:name="PMingLiu"/>
  <w:font w:name="MingLiu"/>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28.0" w:type="dxa"/>
        <w:bottom w:w="0.0" w:type="dxa"/>
        <w:right w:w="2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liya930113@gmail.com" TargetMode="Externa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mailto:s411147136@gmail.com" TargetMode="External"/><Relationship Id="rId7" Type="http://schemas.openxmlformats.org/officeDocument/2006/relationships/hyperlink" Target="mailto:mss0966135803@gmail.com" TargetMode="External"/><Relationship Id="rId8" Type="http://schemas.openxmlformats.org/officeDocument/2006/relationships/hyperlink" Target="mailto:9126ella@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