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bookmarkStart w:id="0" w:name="_GoBack"/>
      <w:bookmarkEnd w:id="0"/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65B46468" w14:textId="6A7E7BAD" w:rsidR="00E061E0" w:rsidRDefault="00E061E0" w:rsidP="00E061E0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高雄市梓官區梓官國小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三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學期部定課程【健康與體育領域】課程計畫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0C144E" w:rsidRPr="00C2223E" w14:paraId="720C4C39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DB210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週次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4E335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D487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751B967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2526C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0E74E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66EA7" w14:textId="77777777" w:rsidR="000C144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21FFC45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1DC9CC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D34BB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線上教學</w:t>
            </w:r>
          </w:p>
        </w:tc>
      </w:tr>
      <w:tr w:rsidR="000C144E" w:rsidRPr="00C2223E" w14:paraId="7756D106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51D60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4C2DD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49411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12CB6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D2877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6623A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334CB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D34F9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1D82" w14:textId="77777777" w:rsidR="000C144E" w:rsidRPr="00C2223E" w:rsidRDefault="000C144E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7957B1" w:rsidRPr="00C2223E" w14:paraId="52DC599A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E1BC2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第一週</w:t>
            </w:r>
          </w:p>
          <w:p w14:paraId="3ACE7C3F" w14:textId="5EFBE08E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022F2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單元一成長時光機</w:t>
            </w:r>
          </w:p>
          <w:p w14:paraId="1E8156A7" w14:textId="7FD9658B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活動1我從哪裡來、活動2成長的奧妙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60F5F" w14:textId="52197836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88D06" w14:textId="36258D0E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Aa-II-1 生長發育的意義與成長個別差異。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18F8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1a-II-1 認識身心健康基本概念與意義。</w:t>
            </w:r>
          </w:p>
          <w:p w14:paraId="2A76ED08" w14:textId="1447B57E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2b-II-1 遵守健康的生活規範。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A5C9F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1.能認識新生命的誕生過程。</w:t>
            </w:r>
          </w:p>
          <w:p w14:paraId="0E8FFBEF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2.能了解各項身體的特徵是遺傳的結果。</w:t>
            </w:r>
          </w:p>
          <w:p w14:paraId="44C0ADD5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3.能體會媽媽生產的辛勞並心存感激，進而懂得愛護自己的身體。</w:t>
            </w:r>
          </w:p>
          <w:p w14:paraId="2ED98C16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4.能體會媽媽生產的辛勞並心存感激，進而懂得愛護自己的身體。</w:t>
            </w:r>
          </w:p>
          <w:p w14:paraId="6ADFFB4F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5.能知道身體是按照頭部、軀幹、四肢的順序發展。</w:t>
            </w:r>
          </w:p>
          <w:p w14:paraId="2F701B2F" w14:textId="2DB9054E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6.能了解生長速度有個別差異，明白每個人都是獨特的個體。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D41B3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D9E4AFD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ACF944A" w14:textId="4CAFB961" w:rsidR="007957B1" w:rsidRPr="007957B1" w:rsidRDefault="007957B1" w:rsidP="007957B1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8E042" w14:textId="2B6CE759" w:rsidR="007957B1" w:rsidRPr="007957B1" w:rsidRDefault="00AB070C" w:rsidP="00AB07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761C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07761C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健康促進學校-1</w:t>
            </w:r>
            <w:r w:rsidR="007957B1"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課綱:生命-3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CCFF9" w14:textId="77777777" w:rsidR="007957B1" w:rsidRPr="007957B1" w:rsidRDefault="007957B1" w:rsidP="007957B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■線上教學</w:t>
            </w:r>
          </w:p>
          <w:p w14:paraId="204003BE" w14:textId="0C738D7A" w:rsidR="007957B1" w:rsidRPr="007957B1" w:rsidRDefault="007957B1" w:rsidP="007957B1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撰寫「我的成長故事」，描述自己從嬰兒到現在的變化，並分享照片或影片。</w:t>
            </w:r>
          </w:p>
        </w:tc>
      </w:tr>
      <w:tr w:rsidR="007957B1" w:rsidRPr="00C2223E" w14:paraId="4694D665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283D2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第二週</w:t>
            </w:r>
          </w:p>
          <w:p w14:paraId="723F121E" w14:textId="2FE80022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74B46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單元一成長時光機</w:t>
            </w:r>
          </w:p>
          <w:p w14:paraId="78A6F8EA" w14:textId="5ADFA0FB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活動1我從哪裡來、活動2成長的奧妙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81821" w14:textId="502FB43E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26BDA" w14:textId="5122A06A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Aa-II-1 生長發育的意義與成長個別差異。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0DFF2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1a-II-1 認識身心健康基本概念與意義。</w:t>
            </w:r>
          </w:p>
          <w:p w14:paraId="0EE05713" w14:textId="5D4C0DCB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2b-II-1 遵守健康的生活規範。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1E81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1.能認識新生命的誕生過程。</w:t>
            </w:r>
          </w:p>
          <w:p w14:paraId="04311B13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2.能了解各項身體的特徵是遺傳的結果。</w:t>
            </w:r>
          </w:p>
          <w:p w14:paraId="6AE86411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3.能體會媽媽生產的辛勞並心存</w:t>
            </w: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感激，進而懂得愛護自己的身體。</w:t>
            </w:r>
          </w:p>
          <w:p w14:paraId="7053DAE8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4.能體會媽媽生產的辛勞並心存感激，進而懂得愛護自己的身體。</w:t>
            </w:r>
          </w:p>
          <w:p w14:paraId="5C01E480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5.能知道身體是按照頭部、軀幹、四肢的順序發展。</w:t>
            </w:r>
          </w:p>
          <w:p w14:paraId="4F793550" w14:textId="4FA7E3D5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6.能了解生長速度有個別差異，明白每個人都是獨特的個體。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C3A57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79B7253F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7FF2DDA" w14:textId="021CD5A8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BA01" w14:textId="77777777" w:rsidR="00AB070C" w:rsidRDefault="00AB070C" w:rsidP="007957B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761C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07761C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防災教育-1</w:t>
            </w:r>
          </w:p>
          <w:p w14:paraId="138F04B3" w14:textId="29FD8F9F" w:rsidR="007957B1" w:rsidRPr="007957B1" w:rsidRDefault="00AB070C" w:rsidP="00AB07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761C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07761C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健康促進學校-1</w:t>
            </w:r>
            <w:r w:rsidR="007957B1"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課綱:生命-3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0E48" w14:textId="71F041F4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28E29301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9E11B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第三週</w:t>
            </w:r>
          </w:p>
          <w:p w14:paraId="10715D65" w14:textId="7D1DB0F5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F1D49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單元一成長時光機</w:t>
            </w:r>
          </w:p>
          <w:p w14:paraId="6818A635" w14:textId="29B345E0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活動3一生的變化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3A24" w14:textId="5D8C595F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健體-E-B1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C265B" w14:textId="6C4D77C9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Aa-II-2 人生各階段發展的順序與感受。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957E5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1a-II-1 認識身心健康基本概念與意義。</w:t>
            </w:r>
          </w:p>
          <w:p w14:paraId="05786281" w14:textId="62ADF263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3b-II-2 能於引導下，表現基本的人際溝通互動技能。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8A618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1.能關懷和照顧家中的老年人。</w:t>
            </w:r>
          </w:p>
          <w:p w14:paraId="0648B04D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2.能以健康的態度面對老化。</w:t>
            </w:r>
          </w:p>
          <w:p w14:paraId="2DA03BB0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3.能了解人的一生各階段的變化。</w:t>
            </w:r>
          </w:p>
          <w:p w14:paraId="771E8DE0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4.能了解人的一生各階段的變化。</w:t>
            </w:r>
          </w:p>
          <w:p w14:paraId="6A35BA64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5.能關懷和照顧家中的老年人。</w:t>
            </w:r>
          </w:p>
          <w:p w14:paraId="7667A27C" w14:textId="2A3C7D73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6.能以健康的態度面對老化。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56690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D5C8E95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0D17506" w14:textId="62D6D619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311F6" w14:textId="21E5B1CC" w:rsidR="007957B1" w:rsidRPr="007957B1" w:rsidRDefault="00AB070C" w:rsidP="00AB070C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761C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07761C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健康促進學校-1</w:t>
            </w:r>
            <w:r w:rsidR="007957B1"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課綱:生命-3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4FFB6" w14:textId="3F4B0A68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2A65F1E5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936C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第四週</w:t>
            </w:r>
          </w:p>
          <w:p w14:paraId="6790C636" w14:textId="51969024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AFBAB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單元二健康滿點</w:t>
            </w:r>
          </w:p>
          <w:p w14:paraId="3810F09E" w14:textId="37F59854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活動1腸胃舒服沒煩惱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B9F8F" w14:textId="63E193BF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健體-E-A1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E004B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Fb-II-1 自我健康狀態檢視方法與健康行為的維持原則。</w:t>
            </w:r>
          </w:p>
          <w:p w14:paraId="765519B2" w14:textId="488E2B64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Fb-II-3 正確就醫習慣。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3759F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2a-II-2 注意健康問題所帶來的威脅感和嚴重性。</w:t>
            </w:r>
          </w:p>
          <w:p w14:paraId="39C7BF78" w14:textId="18640385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2b-II-2 願意改善個人的健康習慣。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C5FB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1.促進消化道健康。</w:t>
            </w:r>
          </w:p>
          <w:p w14:paraId="09A2FEA9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2.知道在肚子痛時正確就醫。</w:t>
            </w:r>
          </w:p>
          <w:p w14:paraId="4D105004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3.知道生活習慣與疾病的關係。</w:t>
            </w:r>
          </w:p>
          <w:p w14:paraId="3F093789" w14:textId="05DA9341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4.培養促進消化道健康的習慣。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FEA5F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6DDF1C78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5FA44D8C" w14:textId="23541F42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2D7B" w14:textId="77777777" w:rsidR="007957B1" w:rsidRDefault="00203D93" w:rsidP="00203D93">
            <w:pPr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低碳環境教育-1</w:t>
            </w:r>
          </w:p>
          <w:p w14:paraId="3D3FD857" w14:textId="1782BB85" w:rsidR="00203D93" w:rsidRPr="00203D93" w:rsidRDefault="00203D93" w:rsidP="00203D93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交通安全教育-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52061" w14:textId="77777777" w:rsidR="007957B1" w:rsidRPr="007957B1" w:rsidRDefault="007957B1" w:rsidP="007957B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■線上教學</w:t>
            </w:r>
          </w:p>
          <w:p w14:paraId="555B4B55" w14:textId="1958155D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 Google Docs 撰寫「腸胃健康飲食計畫」，記錄一週內的飲食，並分析對腸胃的影響。</w:t>
            </w:r>
          </w:p>
        </w:tc>
      </w:tr>
      <w:tr w:rsidR="007957B1" w:rsidRPr="00C2223E" w14:paraId="21114E51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4A34D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第五週</w:t>
            </w:r>
          </w:p>
          <w:p w14:paraId="5245B93B" w14:textId="50997BDE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84861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單元二健康滿點</w:t>
            </w:r>
          </w:p>
          <w:p w14:paraId="57DFF46F" w14:textId="013DA8E7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活動2健康好厝邊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124A9" w14:textId="35855C77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健體-E-A1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352C" w14:textId="58392410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Bb-II-1 藥物對健康的影響、安全用藥原則與社區藥局。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A149" w14:textId="23294F28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4a-II-1 能於日常生活中，運用健康資訊、產品與服務。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871A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1.認識用藥五問的原則。</w:t>
            </w:r>
          </w:p>
          <w:p w14:paraId="4821B48E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2.認識「用藥五不五要」原則。</w:t>
            </w:r>
          </w:p>
          <w:p w14:paraId="54447896" w14:textId="501889B3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3.認識社區藥局。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767E6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209D486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1D2F120" w14:textId="1E2AD6B9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433BE" w14:textId="77777777" w:rsidR="00203D93" w:rsidRPr="00130F3B" w:rsidRDefault="00203D93" w:rsidP="00203D93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74794245" w14:textId="6C7C39F7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課綱:資訊-3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8B2DC" w14:textId="77777777" w:rsidR="007957B1" w:rsidRPr="007957B1" w:rsidRDefault="007957B1" w:rsidP="007957B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■線上教學</w:t>
            </w:r>
          </w:p>
          <w:p w14:paraId="6AF0559D" w14:textId="5282A51F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選擇正確的用藥方式，並觀看短片學習「用藥五不五要」。透過 Kahoot! 進行用藥知識大挑戰</w:t>
            </w:r>
          </w:p>
        </w:tc>
      </w:tr>
      <w:tr w:rsidR="007957B1" w:rsidRPr="00C2223E" w14:paraId="675E8C65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1C4A6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第六週</w:t>
            </w:r>
          </w:p>
          <w:p w14:paraId="11CF2F79" w14:textId="2F51D558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57232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單元三驚險一瞬間</w:t>
            </w:r>
          </w:p>
          <w:p w14:paraId="545CF086" w14:textId="60FAE37F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活動1火災真可怕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42E08" w14:textId="13F65861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6AB38" w14:textId="6CA94186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Ba-II-3 防火、防震、防颱措施及逃生避難基本技巧。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3AC0A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1a-II-2 了解促進健康的生活方法。</w:t>
            </w:r>
          </w:p>
          <w:p w14:paraId="3D4353AB" w14:textId="232BC6F0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3a-II-1 演練基本的健康技能。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BADB7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1.認識火災發生。</w:t>
            </w:r>
          </w:p>
          <w:p w14:paraId="60C43F16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2.培養對火災的警覺性。</w:t>
            </w:r>
          </w:p>
          <w:p w14:paraId="63B527A0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3.演練火場逃生技巧。</w:t>
            </w:r>
          </w:p>
          <w:p w14:paraId="5AED962B" w14:textId="37BE0FE6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4.演練報案技巧。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4BE2E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6B09319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7A6E1A9" w14:textId="7F07FC3F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BFBC5" w14:textId="7064F8BE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課綱:防災-3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67336" w14:textId="6CA7749A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1EC514B6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25DEB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第七週</w:t>
            </w:r>
          </w:p>
          <w:p w14:paraId="0BF18A08" w14:textId="4B89EF1D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12138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單元三驚險一瞬間</w:t>
            </w:r>
          </w:p>
          <w:p w14:paraId="4C4906A9" w14:textId="4AD44320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活動2防火大作戰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14C40" w14:textId="4C1FFE1D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F855" w14:textId="02647010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Ba-II-3 防火、防震、防颱措施及逃生避難基本技巧。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BAE6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1a-II-2 了解促進健康的生活方法。</w:t>
            </w:r>
          </w:p>
          <w:p w14:paraId="1711C0DA" w14:textId="42AE0663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4b-II-2 使用事實證據來支持促進健康的立場。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7E5F9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1.認識居家防火安全措施。</w:t>
            </w:r>
          </w:p>
          <w:p w14:paraId="607E4B69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2.願意改善家中不安全的防火項目。</w:t>
            </w:r>
          </w:p>
          <w:p w14:paraId="681FDFB2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3.認識滅火器的使用方法。</w:t>
            </w:r>
          </w:p>
          <w:p w14:paraId="1F203B39" w14:textId="29D5A6BA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4.能向他人倡導滅火器和住警器的重要性。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9F91A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0861184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28CACE2" w14:textId="625AE232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13643" w14:textId="53A49212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課綱:防災-3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B9237" w14:textId="6B84AAAE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24292E41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7175C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第八週</w:t>
            </w:r>
          </w:p>
          <w:p w14:paraId="7C1FC1E3" w14:textId="7637E681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4D5DD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單元四垃圾變少了</w:t>
            </w:r>
          </w:p>
          <w:p w14:paraId="695E2137" w14:textId="77DD547A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活動1垃圾大麻煩、活動2垃圾分類小達人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D2FA4" w14:textId="00FEBA52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健體-E-C1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81C7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Ca-II-2 環境汙染對健康的影響。</w:t>
            </w:r>
          </w:p>
          <w:p w14:paraId="6F899FA9" w14:textId="44058CA8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Ca-II-1 健康社區的意識、責任與維護行動。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D469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2a-II-2 注意健康問題所帶來的威脅感與嚴重性。</w:t>
            </w:r>
          </w:p>
          <w:p w14:paraId="0DBF049E" w14:textId="0F6E8FA6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3a-II-1 演練基本的健康技能。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7C11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1.分析日常垃圾的來源。</w:t>
            </w:r>
          </w:p>
          <w:p w14:paraId="78696AD2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2.了解垃圾對環境的汙染。</w:t>
            </w:r>
          </w:p>
          <w:p w14:paraId="7F33E189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3.覺察垃圾造成環境汙染後，對人類健康的危害。</w:t>
            </w:r>
          </w:p>
          <w:p w14:paraId="046050AA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 xml:space="preserve">4.分析是否有使用一次性餐具和包裝的習慣。 </w:t>
            </w:r>
          </w:p>
          <w:p w14:paraId="7E034207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5.了解使用一次性餐具和包裝方便性背後的危機。</w:t>
            </w:r>
          </w:p>
          <w:p w14:paraId="7420DC5D" w14:textId="5E08F031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6.觀察一個活動（野餐）思考如何減少垃圾的產生。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36623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6FA21A7D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BB2DA1E" w14:textId="38DF1C14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66DF8" w14:textId="440C5DBB" w:rsidR="007957B1" w:rsidRPr="00203D93" w:rsidRDefault="00203D93" w:rsidP="00203D93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兒童權利公約-1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577FD" w14:textId="0E855B9A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6B63DB59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2EB02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第九週</w:t>
            </w:r>
          </w:p>
          <w:p w14:paraId="69BD702C" w14:textId="744E8736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7E21D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單元四垃圾變少了</w:t>
            </w:r>
          </w:p>
          <w:p w14:paraId="23853FCC" w14:textId="084A2ABC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活動2垃圾分類小達人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D3998" w14:textId="20562A9E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健體-E-C1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756CF" w14:textId="24ADAB58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Ca-II-1 健康社區的意識、責任與維護行動。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30E6F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1a-II-2 了解促進健康生活的方法。</w:t>
            </w:r>
          </w:p>
          <w:p w14:paraId="765A0DD3" w14:textId="659D8C64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4b-II-2 使用事實證據來支持自己促進健康的立場。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D0E3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1.知道要做垃圾分類的原因。</w:t>
            </w:r>
          </w:p>
          <w:p w14:paraId="279D7845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2.了解垃圾分類的方式。</w:t>
            </w:r>
          </w:p>
          <w:p w14:paraId="5F1BC6CE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3.認識回收標誌和塑膠分類辨識碼。</w:t>
            </w:r>
          </w:p>
          <w:p w14:paraId="47A6C193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4.學會回收垃圾的處理和分類。</w:t>
            </w:r>
          </w:p>
          <w:p w14:paraId="635CFE17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5.了解回收垃圾可作為資源再利用。</w:t>
            </w:r>
          </w:p>
          <w:p w14:paraId="018CA275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6.了解垃圾中的成分對健康造成的影響。</w:t>
            </w:r>
          </w:p>
          <w:p w14:paraId="0B411DC7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7.了解垃圾分類的方式。</w:t>
            </w:r>
          </w:p>
          <w:p w14:paraId="5C200268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8.認識回收標誌和塑膠分類辨識碼。</w:t>
            </w:r>
          </w:p>
          <w:p w14:paraId="53092E14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9.學會回收垃圾的處理和分類。</w:t>
            </w:r>
          </w:p>
          <w:p w14:paraId="77D1548E" w14:textId="223992C7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10.了解回收垃圾可作為資源再利用。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0AA25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B4C1CB8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4A5C3FF" w14:textId="51F67910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E394" w14:textId="578A686C" w:rsidR="007957B1" w:rsidRPr="007957B1" w:rsidRDefault="00203D93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8BB8" w14:textId="4CAA136A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3FA1B13E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61A82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第十週</w:t>
            </w:r>
          </w:p>
          <w:p w14:paraId="46E3A01D" w14:textId="16539252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7B987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單元五運動補給站</w:t>
            </w:r>
          </w:p>
          <w:p w14:paraId="258241E4" w14:textId="2A5538BA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活動1我是飛毛腿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69B00" w14:textId="226DF264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健體-E-C2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8B05B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Ab-II-1 體適能活動。</w:t>
            </w:r>
          </w:p>
          <w:p w14:paraId="11151A4E" w14:textId="55927E94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Ga-II-1 跑、跳與行進間投擲的遊戲。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EE6C7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1c-II-1 認識身體活動的動作技能。</w:t>
            </w:r>
          </w:p>
          <w:p w14:paraId="719EEADD" w14:textId="06B85988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3d-II-1 運動技能的練習策略。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F65FC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1.學習站立式起跑與起跑後的加速要領和腿部推蹬動作。</w:t>
            </w:r>
          </w:p>
          <w:p w14:paraId="78A519E4" w14:textId="26085B80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2.進行加速度遊戲、點將短賽跑。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B0702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21389279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0DF3889" w14:textId="1257EF05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449B5" w14:textId="7FFB94BE" w:rsidR="00203D93" w:rsidRDefault="00203D93" w:rsidP="007957B1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3E88D196" w14:textId="48AA3D73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EF749" w14:textId="77777777" w:rsidR="007957B1" w:rsidRPr="007957B1" w:rsidRDefault="007957B1" w:rsidP="007957B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■線上教學</w:t>
            </w:r>
          </w:p>
          <w:p w14:paraId="21DD3E09" w14:textId="62F17AF1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學生錄製短跑影片，以慢速及停格方式展示自</w:t>
            </w: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lastRenderedPageBreak/>
              <w:t>己的起跑與加速動作，並與同學互相回饋。</w:t>
            </w:r>
          </w:p>
        </w:tc>
      </w:tr>
      <w:tr w:rsidR="007957B1" w:rsidRPr="00C2223E" w14:paraId="53C6CE64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103E5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第十一週</w:t>
            </w:r>
          </w:p>
          <w:p w14:paraId="1E7B2157" w14:textId="509F3332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65E11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單元五運動補給站</w:t>
            </w:r>
          </w:p>
          <w:p w14:paraId="74BAD3DB" w14:textId="4053AF4E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活動2同心協力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E5CD0" w14:textId="65792A36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健體-E-C2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4284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Cb-II-2 學校運動賽會。</w:t>
            </w:r>
          </w:p>
          <w:p w14:paraId="451B72E6" w14:textId="05E5A72F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Ga-II-1 跑、跳與行進間投擲的遊戲。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78D6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2c-II-2 表現增進團隊合作、友善的互動行為。</w:t>
            </w:r>
          </w:p>
          <w:p w14:paraId="4913CB81" w14:textId="28677D84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E747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1.學會接力跑的動作技巧，並與他人合作完成目標。</w:t>
            </w:r>
          </w:p>
          <w:p w14:paraId="1772E790" w14:textId="2C235CB8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2.明瞭運動精神的意義。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8D516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F038974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E2A2EAB" w14:textId="25BD0687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D282B" w14:textId="0D609AC3" w:rsidR="007957B1" w:rsidRPr="007957B1" w:rsidRDefault="00203D93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交通安全教育-1</w:t>
            </w:r>
            <w:r w:rsidR="007957B1"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ACF7D" w14:textId="03933CDC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4E34D2C5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BD830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第十二週</w:t>
            </w:r>
          </w:p>
          <w:p w14:paraId="590CF228" w14:textId="582166CD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28782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單元五運動補給站</w:t>
            </w:r>
          </w:p>
          <w:p w14:paraId="60B2D57A" w14:textId="0A6559ED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活動3繩的力量、活動4社區運動資源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48735" w14:textId="6D378873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A9C31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Cb-II-4 社區運動活動空間與場域。</w:t>
            </w:r>
          </w:p>
          <w:p w14:paraId="73B3C694" w14:textId="28C6B362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Ic-II-1 民俗運動基本動作與串接。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C7730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4a-II-1 能於日常生活中，運用健康資訊、產品與服務。</w:t>
            </w:r>
          </w:p>
          <w:p w14:paraId="52D62329" w14:textId="49D55C4E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4c-II-1 了解影響運動參與的因素，選擇提高體適能的運動計畫與資源。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2FD72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1.學會跳繩後迴旋跳、開合跳及蹲跳等個人跳法。</w:t>
            </w:r>
          </w:p>
          <w:p w14:paraId="3A01C17A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2.學會團體跳繩基本技巧。</w:t>
            </w:r>
          </w:p>
          <w:p w14:paraId="70682E99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3.能和同學共同合作學習。</w:t>
            </w:r>
          </w:p>
          <w:p w14:paraId="67D09625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4.認識並能評估社區的運動環境。</w:t>
            </w:r>
          </w:p>
          <w:p w14:paraId="7C0FBE6C" w14:textId="481CFF4E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5.了解正確的運動消費概念。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B2276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DE5DB83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3092FF9" w14:textId="562317D7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204F4" w14:textId="1B56787C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BF8A" w14:textId="5F58FDAB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15E6574C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1BD9D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第十三週</w:t>
            </w:r>
          </w:p>
          <w:p w14:paraId="58CA44B1" w14:textId="6A83DC2A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8740A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單元六歡樂運動會</w:t>
            </w:r>
          </w:p>
          <w:p w14:paraId="62BA28F8" w14:textId="0358AB8F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活動1迎接運動會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296CD" w14:textId="7BBA2D3D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健體-E-A1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FEEBF" w14:textId="30668861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Cb-II-2 學校性運動賽會。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AB798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1d-II-1 認識動作技能概念與動作練習的策略。</w:t>
            </w:r>
          </w:p>
          <w:p w14:paraId="0216D8AD" w14:textId="2CB23190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2c-II-2 表現增進團隊合作、友善的互動行為。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43801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1.認識運動會的儀式與相關活動。</w:t>
            </w:r>
          </w:p>
          <w:p w14:paraId="47855E45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2.透過團體合作與分工，解決運動會準備活動的問題。</w:t>
            </w:r>
          </w:p>
          <w:p w14:paraId="627E6A16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3.認識運動會相關比賽規則。</w:t>
            </w:r>
          </w:p>
          <w:p w14:paraId="41831CAB" w14:textId="26B8B2D9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4.能利用練習策略進行運動會的準備活動。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1F50B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412620A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DEFB253" w14:textId="1047F892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BB5B8" w14:textId="77777777" w:rsidR="00203D93" w:rsidRDefault="00203D93" w:rsidP="007957B1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登革熱-1</w:t>
            </w:r>
          </w:p>
          <w:p w14:paraId="3417B1D6" w14:textId="2BF0F38A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課綱:法治-3</w:t>
            </w:r>
          </w:p>
          <w:p w14:paraId="4F9901B4" w14:textId="0C0E2C72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課綱:閱讀-3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33147" w14:textId="16CBD2C1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1B8C7163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236EF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第十四週</w:t>
            </w:r>
          </w:p>
          <w:p w14:paraId="3218A798" w14:textId="6D225C71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0F894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單元六歡樂運動會</w:t>
            </w:r>
          </w:p>
          <w:p w14:paraId="76E23307" w14:textId="372CFDAA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活動2前滾翻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C9850" w14:textId="540C2990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健體-E-B3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302B" w14:textId="71A36C1A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Ia-II-1 滾翻支撐、平衡與擺盪動作。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705C7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  <w:p w14:paraId="0AD0CC2C" w14:textId="62255F29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3c-II-2 透過身體活動，探索運動潛能與表現正確的身體活動。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086C1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1.認識使用墊子的安全注意事項</w:t>
            </w: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與前滾翻的技能概念。</w:t>
            </w:r>
          </w:p>
          <w:p w14:paraId="4AFE724E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2.認識前滾翻的技能概念。</w:t>
            </w:r>
          </w:p>
          <w:p w14:paraId="1E73EC29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3.表現前滾翻的聯合性動作技能。</w:t>
            </w:r>
          </w:p>
          <w:p w14:paraId="073572B4" w14:textId="6037A1DB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4.透過前滾翻練習活動，表現正確安全的身體活動習慣。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93AE7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0165A2CA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87E1824" w14:textId="3322BDF4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0F220" w14:textId="56DE17AD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56F51" w14:textId="213F2B9E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7AE4F8B9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15149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第十五週</w:t>
            </w:r>
          </w:p>
          <w:p w14:paraId="2A9379CF" w14:textId="16D84FA3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90D71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單元六歡樂運動會</w:t>
            </w:r>
          </w:p>
          <w:p w14:paraId="76B4D070" w14:textId="32054EA4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活動3海洋之舞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D5B84" w14:textId="10A6B1F6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健體-E-C2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EFAD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Ib-II-2 土風舞遊戲。</w:t>
            </w:r>
          </w:p>
          <w:p w14:paraId="429C9020" w14:textId="0CC89A5D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Cb-II-2 學校性運動賽會。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A573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1c-II-1 認識身體活動的動作技能。</w:t>
            </w:r>
          </w:p>
          <w:p w14:paraId="0B51E5CF" w14:textId="7395E113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2d-II-3 參與並欣賞多元性身體活動。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88DDD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1.認識海洋之歌原住民族舞蹈的概念與練習基本舞步動作組合。</w:t>
            </w:r>
          </w:p>
          <w:p w14:paraId="5FE9E2EE" w14:textId="0F9729C9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2.正確表現海洋之歌的舞步和舞序。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AB6F9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2BA35B7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AB3AF29" w14:textId="7CAB7D5A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7B71A" w14:textId="77777777" w:rsidR="00203D93" w:rsidRPr="00130F3B" w:rsidRDefault="00203D93" w:rsidP="00203D93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4A53848C" w14:textId="59F4D7A9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0C1BC" w14:textId="210252E0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12B2080D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3EC32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第十六週</w:t>
            </w:r>
          </w:p>
          <w:p w14:paraId="151CE7C8" w14:textId="1138F4B0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2251A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單元六歡樂運動會</w:t>
            </w:r>
          </w:p>
          <w:p w14:paraId="10F49C9B" w14:textId="2BC64C75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活動3海洋之舞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89B96" w14:textId="717001A3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健體-E-A1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C1F3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Ib-II-2 土風舞遊戲。</w:t>
            </w:r>
          </w:p>
          <w:p w14:paraId="17E58297" w14:textId="054C6B4F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Cb-II-2 學校性運動賽會。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7C0E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2c-II-2 表現增進團隊合作、友善的互動行為。</w:t>
            </w:r>
          </w:p>
          <w:p w14:paraId="5ACF9E11" w14:textId="034D146F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596A7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1.認識海洋之歌原住民族舞蹈的概念與練習基本舞步動作組合。</w:t>
            </w:r>
          </w:p>
          <w:p w14:paraId="3A416494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2.正確表現海洋之歌的舞步和舞序。</w:t>
            </w:r>
          </w:p>
          <w:p w14:paraId="79BC5F6C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3.正確表現海洋之歌的舞步和舞序。</w:t>
            </w:r>
          </w:p>
          <w:p w14:paraId="4AA5B462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4.欣賞原住民族舞蹈的美感特色。</w:t>
            </w:r>
          </w:p>
          <w:p w14:paraId="52060112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5能利用練習策略進行海洋之歌動作的練習。</w:t>
            </w:r>
          </w:p>
          <w:p w14:paraId="69EFC964" w14:textId="4B63F7D7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6.認識運動會時應表現的團體規範。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7C6F3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2083BEE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F0DEBA7" w14:textId="40F009A1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82ADA" w14:textId="77777777" w:rsidR="00203D93" w:rsidRPr="00130F3B" w:rsidRDefault="00203D93" w:rsidP="00203D93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441635D7" w14:textId="53AE3C2E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C6095" w14:textId="5E47909E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6FD72B09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FB218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第十七週</w:t>
            </w:r>
          </w:p>
          <w:p w14:paraId="343EEF3B" w14:textId="6230185C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3EA6A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單元七一起來PLAY</w:t>
            </w:r>
          </w:p>
          <w:p w14:paraId="6D6C816C" w14:textId="31C4EFBA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活動1足下傳球真功夫、活動2射門大進擊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E0803" w14:textId="6B2D78ED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65DFE" w14:textId="4A850B71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Hb-II-1 陣地攻守性球類運動相關的拍球、拋接球、傳接球、擲球及踢球、帶球、追逐球、停球之時間、空間及人與人、人與球關係攻防概念。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4C4E4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1d-II-2 描述自己或他人動作技能的正確性。</w:t>
            </w:r>
          </w:p>
          <w:p w14:paraId="11009957" w14:textId="50D24CAC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3d-II-2 運用遊戲的合作和競爭策略。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4476A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1.能運用腳足內側及足背進行流暢的移動傳接球動作。</w:t>
            </w:r>
          </w:p>
          <w:p w14:paraId="20C47AB0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2.在遊戲過程中，能探索出不同的破解方法，展現出合作的精神。</w:t>
            </w:r>
          </w:p>
          <w:p w14:paraId="2CA368DD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3.能利用課餘時間，練習學習過的技巧。</w:t>
            </w:r>
          </w:p>
          <w:p w14:paraId="13FA9F3C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4.能運用腳足內側及足背進行射門動作。</w:t>
            </w:r>
          </w:p>
          <w:p w14:paraId="10BB7613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5.在遊戲過程中，能探索出不同的破解方法，展現出合作的精神。</w:t>
            </w:r>
          </w:p>
          <w:p w14:paraId="5F075DB2" w14:textId="02AD7000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6.能利用課餘時間，練習學習過的技巧。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E7336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986B5D7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8A24D42" w14:textId="0FFAADB5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0AED5" w14:textId="77777777" w:rsidR="00203D93" w:rsidRPr="00130F3B" w:rsidRDefault="00203D93" w:rsidP="00203D93">
            <w:pPr>
              <w:rPr>
                <w:rFonts w:ascii="DFKai-SB" w:eastAsia="DFKai-SB" w:hAnsi="DFKai-SB"/>
                <w:bCs/>
                <w:color w:val="FF0000"/>
                <w:sz w:val="20"/>
                <w:szCs w:val="20"/>
              </w:rPr>
            </w:pPr>
            <w:r w:rsidRPr="00130F3B">
              <w:rPr>
                <w:rFonts w:ascii="DFKai-SB" w:eastAsia="DFKai-SB" w:hAnsi="DFKai-SB" w:hint="eastAsia"/>
                <w:bCs/>
                <w:color w:val="FF0000"/>
                <w:sz w:val="20"/>
                <w:szCs w:val="20"/>
              </w:rPr>
              <w:t>法定:</w:t>
            </w:r>
            <w:r w:rsidRPr="00130F3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457A9D6A" w14:textId="1EE6BFDD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CD71" w14:textId="155B433A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57C6B003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372DC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第十八週</w:t>
            </w:r>
          </w:p>
          <w:p w14:paraId="4CB47450" w14:textId="6CFA6246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EB58D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單元七一起來PLAY</w:t>
            </w:r>
          </w:p>
          <w:p w14:paraId="41DEF715" w14:textId="3FF7C5E1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活動3桌球乒乓碰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9A830" w14:textId="1F6F128C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健體-E-C1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5FED2" w14:textId="0327351E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Ha-II-1 網／牆性球類運動相關的拋接球、持拍控球、擊球及拍擊球、傳接球之時間、空間及人與人、人與球關係攻防概念。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27A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2c-II-1 遵守上課規範和運動比賽規則。</w:t>
            </w:r>
          </w:p>
          <w:p w14:paraId="4BBD9FC5" w14:textId="748D7D19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3c-II-1 表現聯合性動作技能。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52390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1.熟練向上拍擊動作。</w:t>
            </w:r>
          </w:p>
          <w:p w14:paraId="27323257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2.能遵守比賽規則與規範。</w:t>
            </w:r>
          </w:p>
          <w:p w14:paraId="44A72E78" w14:textId="4BC20427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3.能運用拍擊動作，進行簡易比賽。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6301F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D10FAF0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CAE8CA1" w14:textId="3F77B5C2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5F0EE" w14:textId="6E84B4F5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89848" w14:textId="741F00E7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4BEEA9D6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8F709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第十九週</w:t>
            </w:r>
          </w:p>
          <w:p w14:paraId="542EBD45" w14:textId="734A0BC7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29F51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單元七一起來PLAY</w:t>
            </w:r>
          </w:p>
          <w:p w14:paraId="201FD8B5" w14:textId="1C56DAF1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活動4你丟我閃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96D07" w14:textId="4B1A1456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健體-E-C1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84DC7" w14:textId="428AF757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Hb-II-1 陣地攻守性球類運動相關的拍球、拋接球、傳接球、擲球及踢球、帶球、追逐球、停</w:t>
            </w: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球之時間、空間及人與人、人與球關係攻防概念。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A51C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1d-II-1 認識動作技能概念與動作練習的策略。</w:t>
            </w:r>
          </w:p>
          <w:p w14:paraId="1E7CB9E4" w14:textId="6CAE2193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3d-II-1 運用動作技能的練習策略。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AEEA6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1.能正確做出擲、接球及閃躲動作。</w:t>
            </w:r>
          </w:p>
          <w:p w14:paraId="28B24606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2.能與同學合作練習及遊戲。</w:t>
            </w:r>
          </w:p>
          <w:p w14:paraId="31F422AA" w14:textId="5A35276C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3.能利用課餘時間，進行躲避球練習或遊戲。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652DE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7315F96B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DE2AE7E" w14:textId="2D0E77DB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D16B3" w14:textId="1F18DB50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CC5D7" w14:textId="17A23BDF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4B0BD98E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2C6A1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第二十週</w:t>
            </w:r>
          </w:p>
          <w:p w14:paraId="105B34D3" w14:textId="377AF9B6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F8924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單元八水中悠游</w:t>
            </w:r>
          </w:p>
          <w:p w14:paraId="16064CFC" w14:textId="2B9D0D96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活動1海中浮潛真有趣、活動2泳池安全擺第一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41A38" w14:textId="431EEF5C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健體-E-A2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7B49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Cc-II-1 水域休閒運動基本技能。</w:t>
            </w:r>
          </w:p>
          <w:p w14:paraId="202E9270" w14:textId="43735159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Gb-II-1 戶外戲水安全知識、離地蹬牆漂浮。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49528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1c-II-2 認識身體活動的傷害和防護概念。</w:t>
            </w:r>
          </w:p>
          <w:p w14:paraId="35B4A017" w14:textId="5CDAE07E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2c-II-1 遵守上課規範和運動比賽規則。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32E1E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1.能學習從事浮潛活動安全注意事項。</w:t>
            </w:r>
          </w:p>
          <w:p w14:paraId="4D6D27C3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2.了解各項浮潛的用具使用方法。</w:t>
            </w:r>
          </w:p>
          <w:p w14:paraId="6F9B4F22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3.能利用課餘時間，自行從事浮潛活動，並與同學分享。</w:t>
            </w:r>
          </w:p>
          <w:p w14:paraId="3437CFC0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4.學習游泳池安全規範並確實遵守。</w:t>
            </w:r>
          </w:p>
          <w:p w14:paraId="6D6E5E2E" w14:textId="5C29D117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5.說明不遵守規範所造成的危害，並請學生反思。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73F1D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74D1A9F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E200405" w14:textId="34030C7F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710A6" w14:textId="03E29DAE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B287" w14:textId="385F94AB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  <w:tr w:rsidR="007957B1" w:rsidRPr="00C2223E" w14:paraId="630D3551" w14:textId="77777777" w:rsidTr="007957B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A9243" w14:textId="77777777" w:rsidR="007957B1" w:rsidRDefault="007957B1" w:rsidP="007957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第二十一週</w:t>
            </w:r>
          </w:p>
          <w:p w14:paraId="1C838766" w14:textId="0D59D156" w:rsidR="007957B1" w:rsidRPr="00EC1092" w:rsidRDefault="007957B1" w:rsidP="007957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7460D" w14:textId="77777777" w:rsidR="007957B1" w:rsidRPr="007957B1" w:rsidRDefault="007957B1" w:rsidP="007957B1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單元八水中悠游</w:t>
            </w:r>
          </w:p>
          <w:p w14:paraId="7CEE0E32" w14:textId="6EA74A12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活動3雙腳打水我最行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39291" w14:textId="22D17D37" w:rsidR="007957B1" w:rsidRPr="007957B1" w:rsidRDefault="007957B1" w:rsidP="007957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健體-E-A1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D7761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Gb-II-1 戶外戲水安全知識、離地蹬牆漂浮。</w:t>
            </w:r>
          </w:p>
          <w:p w14:paraId="453AAF00" w14:textId="54999A41" w:rsidR="007957B1" w:rsidRPr="007957B1" w:rsidRDefault="007957B1" w:rsidP="007957B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Gb-II-2 打水前進、簡易性游泳遊戲。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9D89" w14:textId="77777777" w:rsidR="007957B1" w:rsidRPr="007957B1" w:rsidRDefault="007957B1" w:rsidP="007957B1">
            <w:pPr>
              <w:autoSpaceDE w:val="0"/>
              <w:adjustRightInd w:val="0"/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3c-II-2 透過身體活動，探索運動潛能與表現正確的身體活動。</w:t>
            </w:r>
          </w:p>
          <w:p w14:paraId="7758632C" w14:textId="090B5628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sz w:val="20"/>
                <w:szCs w:val="20"/>
              </w:rPr>
              <w:t>4c-II-2 了解個人體適能與基本運動能力表現。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4F7A7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1.學習雙腳打水的動作要點，循序漸進的練習。</w:t>
            </w:r>
          </w:p>
          <w:p w14:paraId="5ACD8135" w14:textId="77777777" w:rsidR="007957B1" w:rsidRPr="007957B1" w:rsidRDefault="007957B1" w:rsidP="007957B1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2.透過遊戲，能夠了解打水動作的正確性。</w:t>
            </w:r>
          </w:p>
          <w:p w14:paraId="14E17677" w14:textId="18E2A94B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3.能思考策略，並運用於遊戲中。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57052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C32DDF7" w14:textId="77777777" w:rsidR="007957B1" w:rsidRPr="007957B1" w:rsidRDefault="007957B1" w:rsidP="007957B1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88A60DD" w14:textId="467A4750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2C983" w14:textId="5C0EA832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hint="eastAsia"/>
                <w:bCs/>
                <w:sz w:val="20"/>
                <w:szCs w:val="20"/>
              </w:rPr>
              <w:t>課綱:安全-3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98E83" w14:textId="395761BA" w:rsidR="007957B1" w:rsidRPr="007957B1" w:rsidRDefault="007957B1" w:rsidP="007957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957B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(例：法定/課綱：領域-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r w:rsidRPr="00B77512">
        <w:rPr>
          <w:rFonts w:ascii="DFKai-SB" w:eastAsia="DFKai-SB" w:hAnsi="DFKai-SB"/>
          <w:sz w:val="23"/>
          <w:szCs w:val="23"/>
        </w:rPr>
        <w:t>課綱議題：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DFKai-SB" w:eastAsia="DFKai-SB" w:hAnsi="DFKai-SB"/>
          <w:color w:val="FF0000"/>
          <w:sz w:val="23"/>
          <w:szCs w:val="23"/>
        </w:rPr>
        <w:lastRenderedPageBreak/>
        <w:t>註3：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請參採「國民小學及國民中學學生成績評量準則」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47495" w14:textId="77777777" w:rsidR="00DC685E" w:rsidRDefault="00DC685E">
      <w:r>
        <w:separator/>
      </w:r>
    </w:p>
  </w:endnote>
  <w:endnote w:type="continuationSeparator" w:id="0">
    <w:p w14:paraId="21269024" w14:textId="77777777" w:rsidR="00DC685E" w:rsidRDefault="00DC6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A968F" w14:textId="77777777" w:rsidR="00DC685E" w:rsidRDefault="00DC685E">
      <w:r>
        <w:rPr>
          <w:color w:val="000000"/>
        </w:rPr>
        <w:separator/>
      </w:r>
    </w:p>
  </w:footnote>
  <w:footnote w:type="continuationSeparator" w:id="0">
    <w:p w14:paraId="74BD87CF" w14:textId="77777777" w:rsidR="00DC685E" w:rsidRDefault="00DC6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144E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93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C783B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1DC9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372E2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957B1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069E"/>
    <w:rsid w:val="00814060"/>
    <w:rsid w:val="00825DAD"/>
    <w:rsid w:val="008263DE"/>
    <w:rsid w:val="00830048"/>
    <w:rsid w:val="00832030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8E7146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0670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57146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070C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136D7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6074"/>
    <w:rsid w:val="00C27630"/>
    <w:rsid w:val="00C277FC"/>
    <w:rsid w:val="00C278E7"/>
    <w:rsid w:val="00C30808"/>
    <w:rsid w:val="00C3198C"/>
    <w:rsid w:val="00C3694C"/>
    <w:rsid w:val="00C42BFB"/>
    <w:rsid w:val="00C546A7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C685E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61E0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663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8C34B-2803-4B99-8268-3C3353F04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13</cp:revision>
  <cp:lastPrinted>2021-10-04T02:40:00Z</cp:lastPrinted>
  <dcterms:created xsi:type="dcterms:W3CDTF">2022-04-20T07:12:00Z</dcterms:created>
  <dcterms:modified xsi:type="dcterms:W3CDTF">2025-06-01T10:20:00Z</dcterms:modified>
</cp:coreProperties>
</file>